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094" w:rsidRPr="006B34C4" w:rsidRDefault="00467094" w:rsidP="006B34C4">
      <w:pPr>
        <w:tabs>
          <w:tab w:val="left" w:pos="851"/>
        </w:tabs>
        <w:suppressAutoHyphens/>
        <w:spacing w:after="0" w:line="240" w:lineRule="auto"/>
        <w:ind w:right="0"/>
        <w:jc w:val="both"/>
        <w:outlineLvl w:val="0"/>
        <w:rPr>
          <w:rFonts w:ascii="Times New Roman Bold" w:eastAsia="Times New Roman" w:hAnsi="Times New Roman Bold"/>
          <w:b/>
          <w:sz w:val="28"/>
          <w:szCs w:val="28"/>
        </w:rPr>
      </w:pPr>
      <w:bookmarkStart w:id="0" w:name="_GoBack"/>
      <w:bookmarkEnd w:id="0"/>
      <w:r w:rsidRPr="006B34C4">
        <w:rPr>
          <w:rFonts w:ascii="Times New Roman Bold" w:eastAsia="Times New Roman" w:hAnsi="Times New Roman Bold"/>
          <w:b/>
          <w:sz w:val="28"/>
          <w:szCs w:val="28"/>
        </w:rPr>
        <w:t xml:space="preserve">Результаты рейтинговой оценки образовательной деятельности медицинских ВУЗов </w:t>
      </w:r>
    </w:p>
    <w:p w:rsidR="00467094" w:rsidRDefault="00467094" w:rsidP="00467094">
      <w:pPr>
        <w:tabs>
          <w:tab w:val="left" w:pos="851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tabs>
          <w:tab w:val="left" w:pos="851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Образовательный рейтинг медицинских ВУЗов складывается из следующих индикаторов: 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качество подготовки; 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востребованность выпускников; </w:t>
      </w:r>
    </w:p>
    <w:p w:rsidR="00467094" w:rsidRPr="009A3992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интернационализация </w:t>
      </w:r>
      <w:r w:rsidRPr="009A3992">
        <w:rPr>
          <w:rFonts w:ascii="Times New Roman" w:hAnsi="Times New Roman"/>
          <w:sz w:val="28"/>
          <w:szCs w:val="28"/>
        </w:rPr>
        <w:t xml:space="preserve">медицинского образования; 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- уровень профессорско-преподавательского состава. </w:t>
      </w:r>
    </w:p>
    <w:p w:rsidR="00467094" w:rsidRPr="009A3992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63C756" wp14:editId="5DE2FE6A">
            <wp:extent cx="5940425" cy="3038475"/>
            <wp:effectExtent l="0" t="0" r="3175" b="9525"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67094" w:rsidRPr="0095403C" w:rsidRDefault="00467094" w:rsidP="00467094">
      <w:pPr>
        <w:spacing w:after="0" w:line="240" w:lineRule="auto"/>
        <w:ind w:right="0"/>
        <w:jc w:val="center"/>
        <w:rPr>
          <w:rFonts w:ascii="Times New Roman" w:hAnsi="Times New Roman"/>
          <w:sz w:val="24"/>
          <w:szCs w:val="24"/>
        </w:rPr>
      </w:pPr>
      <w:r w:rsidRPr="0095403C">
        <w:rPr>
          <w:rFonts w:ascii="Times New Roman" w:hAnsi="Times New Roman"/>
          <w:sz w:val="24"/>
          <w:szCs w:val="24"/>
        </w:rPr>
        <w:t>Рисунок 1 - Вклад отдельных индикаторов в суммарное значение и оценку образовательной деятельности ВУЗа.</w:t>
      </w:r>
    </w:p>
    <w:p w:rsidR="00467094" w:rsidRDefault="00467094" w:rsidP="00467094">
      <w:pPr>
        <w:spacing w:after="0" w:line="240" w:lineRule="auto"/>
        <w:ind w:right="0" w:firstLine="709"/>
        <w:jc w:val="both"/>
        <w:rPr>
          <w:rFonts w:ascii="Times New Roman" w:hAnsi="Times New Roman"/>
          <w:sz w:val="16"/>
          <w:szCs w:val="16"/>
        </w:rPr>
      </w:pPr>
    </w:p>
    <w:p w:rsidR="00467094" w:rsidRPr="009A3992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tab/>
      </w:r>
      <w:r w:rsidRPr="009A3992">
        <w:rPr>
          <w:rFonts w:ascii="Times New Roman" w:hAnsi="Times New Roman"/>
          <w:sz w:val="28"/>
          <w:szCs w:val="28"/>
        </w:rPr>
        <w:t>Основной вклад в суммарную оценку образовательной деятельности ВУЗа в 2020-2021 учебном году внесен за счет востребованности его выпускников и качества подготовки обучающихся. Во многих медицинских ВУЗах отмечается низкий показатель по категориям «Интернационализация медицинского образования» и «Уровень ППС».</w:t>
      </w:r>
    </w:p>
    <w:p w:rsidR="00467094" w:rsidRDefault="00467094" w:rsidP="00467094">
      <w:pPr>
        <w:spacing w:after="0" w:line="240" w:lineRule="auto"/>
        <w:ind w:right="0" w:firstLine="709"/>
        <w:jc w:val="both"/>
        <w:rPr>
          <w:rFonts w:ascii="Times New Roman" w:hAnsi="Times New Roman"/>
          <w:sz w:val="10"/>
          <w:szCs w:val="10"/>
        </w:rPr>
      </w:pPr>
    </w:p>
    <w:p w:rsidR="00467094" w:rsidRDefault="00467094" w:rsidP="00467094">
      <w:pPr>
        <w:spacing w:after="0" w:line="240" w:lineRule="auto"/>
        <w:ind w:right="0"/>
        <w:jc w:val="center"/>
        <w:rPr>
          <w:rFonts w:ascii="Times New Roman" w:eastAsia="Times New Roman" w:hAnsi="Times New Roman"/>
          <w:sz w:val="14"/>
          <w:szCs w:val="14"/>
          <w:lang w:eastAsia="ru-RU"/>
        </w:rPr>
      </w:pP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ранжирования по отдельным индикаторам</w:t>
      </w:r>
      <w:r>
        <w:rPr>
          <w:rFonts w:ascii="Times New Roman" w:hAnsi="Times New Roman"/>
          <w:sz w:val="28"/>
          <w:szCs w:val="28"/>
        </w:rPr>
        <w:t>.</w:t>
      </w:r>
    </w:p>
    <w:p w:rsidR="00467094" w:rsidRPr="00496D27" w:rsidRDefault="00467094" w:rsidP="00467094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righ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496D27">
        <w:rPr>
          <w:rFonts w:ascii="Times New Roman" w:hAnsi="Times New Roman"/>
          <w:sz w:val="28"/>
          <w:szCs w:val="28"/>
          <w:u w:val="single"/>
        </w:rPr>
        <w:t xml:space="preserve">Ранжирование по индикатору </w:t>
      </w:r>
      <w:r w:rsidRPr="00496D27">
        <w:rPr>
          <w:rFonts w:ascii="Times New Roman" w:hAnsi="Times New Roman"/>
          <w:b/>
          <w:sz w:val="28"/>
          <w:szCs w:val="28"/>
          <w:u w:val="single"/>
        </w:rPr>
        <w:t xml:space="preserve">«качество подготовки». 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Индикатор «Качество подготовки», складывается из следующих компонентов: 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Доля выпускников интернатуры, успешно прошедших независимую </w:t>
      </w:r>
      <w:proofErr w:type="spellStart"/>
      <w:r>
        <w:rPr>
          <w:rFonts w:ascii="Times New Roman" w:hAnsi="Times New Roman"/>
          <w:sz w:val="28"/>
          <w:szCs w:val="28"/>
        </w:rPr>
        <w:t>экзаменацию</w:t>
      </w:r>
      <w:proofErr w:type="spellEnd"/>
      <w:r>
        <w:rPr>
          <w:rFonts w:ascii="Times New Roman" w:hAnsi="Times New Roman"/>
          <w:sz w:val="28"/>
          <w:szCs w:val="28"/>
        </w:rPr>
        <w:t xml:space="preserve"> (прошедших установленный порог балльной оценки);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Доля выпускников резидентуры, успешно прошедших независимую </w:t>
      </w:r>
      <w:proofErr w:type="spellStart"/>
      <w:r>
        <w:rPr>
          <w:rFonts w:ascii="Times New Roman" w:hAnsi="Times New Roman"/>
          <w:sz w:val="28"/>
          <w:szCs w:val="28"/>
        </w:rPr>
        <w:t>экзаменацию</w:t>
      </w:r>
      <w:proofErr w:type="spellEnd"/>
      <w:r>
        <w:rPr>
          <w:rFonts w:ascii="Times New Roman" w:hAnsi="Times New Roman"/>
          <w:sz w:val="28"/>
          <w:szCs w:val="28"/>
        </w:rPr>
        <w:t xml:space="preserve"> (прошедших установленный порог балльной оценки);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Доля обучающихся, являющихся призерами международных олимпиад, победителями международных конференций, конкурсов соревнований (научного, практического, образовательного направления).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lastRenderedPageBreak/>
        <w:t xml:space="preserve">Ранжированный список с определением места в рейтинге медицинских ВУЗов по результатам оценки индикатора «Качество подготовки по образовательным программам» отображен на рисунке </w:t>
      </w:r>
      <w:r>
        <w:rPr>
          <w:rFonts w:ascii="Times New Roman" w:hAnsi="Times New Roman"/>
          <w:sz w:val="28"/>
          <w:szCs w:val="28"/>
        </w:rPr>
        <w:t>2</w:t>
      </w:r>
      <w:r w:rsidRPr="009A3992">
        <w:rPr>
          <w:rFonts w:ascii="Times New Roman" w:hAnsi="Times New Roman"/>
          <w:sz w:val="28"/>
          <w:szCs w:val="28"/>
        </w:rPr>
        <w:t>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tabs>
          <w:tab w:val="left" w:pos="1110"/>
        </w:tabs>
      </w:pPr>
      <w:r>
        <w:rPr>
          <w:noProof/>
          <w:lang w:eastAsia="ru-RU"/>
        </w:rPr>
        <w:drawing>
          <wp:inline distT="0" distB="0" distL="0" distR="0" wp14:anchorId="68470FFB" wp14:editId="093D0A78">
            <wp:extent cx="5940425" cy="2867025"/>
            <wp:effectExtent l="0" t="0" r="3175" b="9525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67094" w:rsidRPr="0095403C" w:rsidRDefault="00467094" w:rsidP="00467094">
      <w:pPr>
        <w:spacing w:after="0" w:line="240" w:lineRule="auto"/>
        <w:ind w:right="0"/>
        <w:jc w:val="center"/>
        <w:rPr>
          <w:rFonts w:ascii="Times New Roman" w:hAnsi="Times New Roman"/>
          <w:sz w:val="24"/>
          <w:szCs w:val="24"/>
        </w:rPr>
      </w:pPr>
      <w:r w:rsidRPr="0095403C">
        <w:rPr>
          <w:rFonts w:ascii="Times New Roman" w:hAnsi="Times New Roman"/>
          <w:sz w:val="24"/>
          <w:szCs w:val="24"/>
        </w:rPr>
        <w:t>Рисунок 2 - Рейтинг медицинских ВУЗов по результатам индикатора «Качество подготовки по образовательным программам».</w:t>
      </w:r>
    </w:p>
    <w:p w:rsidR="00467094" w:rsidRPr="009A3992" w:rsidRDefault="00467094" w:rsidP="00467094">
      <w:pPr>
        <w:tabs>
          <w:tab w:val="left" w:pos="2445"/>
        </w:tabs>
        <w:spacing w:after="0" w:line="240" w:lineRule="auto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467094" w:rsidRPr="009A3992" w:rsidRDefault="00467094" w:rsidP="00467094">
      <w:pPr>
        <w:tabs>
          <w:tab w:val="left" w:pos="2445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Доля выпускников интернатуры и резидентуры, успешно прошедших независимую </w:t>
      </w:r>
      <w:proofErr w:type="spellStart"/>
      <w:r w:rsidRPr="009A3992">
        <w:rPr>
          <w:rFonts w:ascii="Times New Roman" w:hAnsi="Times New Roman"/>
          <w:sz w:val="28"/>
          <w:szCs w:val="28"/>
        </w:rPr>
        <w:t>экзаменацию</w:t>
      </w:r>
      <w:proofErr w:type="spellEnd"/>
      <w:r w:rsidRPr="009A3992">
        <w:rPr>
          <w:rFonts w:ascii="Times New Roman" w:hAnsi="Times New Roman"/>
          <w:sz w:val="28"/>
          <w:szCs w:val="28"/>
        </w:rPr>
        <w:t xml:space="preserve"> (прошедших установленный порог балльной оценки) по всем ВУЗам колеблется</w:t>
      </w:r>
      <w:r>
        <w:rPr>
          <w:rFonts w:ascii="Times New Roman" w:hAnsi="Times New Roman"/>
          <w:sz w:val="28"/>
          <w:szCs w:val="28"/>
        </w:rPr>
        <w:t xml:space="preserve"> в пределах 92,9 – 100%</w:t>
      </w:r>
      <w:r w:rsidRPr="009A3992">
        <w:rPr>
          <w:rFonts w:ascii="Times New Roman" w:hAnsi="Times New Roman"/>
          <w:sz w:val="28"/>
          <w:szCs w:val="28"/>
        </w:rPr>
        <w:t xml:space="preserve">, за исключением ВШОЗ, который не готовит интернов и резидентов. </w:t>
      </w:r>
    </w:p>
    <w:p w:rsidR="00467094" w:rsidRPr="009A3992" w:rsidRDefault="00467094" w:rsidP="00467094">
      <w:pPr>
        <w:tabs>
          <w:tab w:val="left" w:pos="2445"/>
        </w:tabs>
        <w:spacing w:after="0" w:line="240" w:lineRule="auto"/>
        <w:ind w:righ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992">
        <w:rPr>
          <w:rFonts w:ascii="Times New Roman" w:eastAsia="Times New Roman" w:hAnsi="Times New Roman"/>
          <w:sz w:val="28"/>
          <w:szCs w:val="28"/>
          <w:lang w:eastAsia="ru-RU"/>
        </w:rPr>
        <w:t>Лидирующие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A3992">
        <w:rPr>
          <w:rFonts w:ascii="Times New Roman" w:eastAsia="Times New Roman" w:hAnsi="Times New Roman"/>
          <w:sz w:val="28"/>
          <w:szCs w:val="28"/>
          <w:lang w:eastAsia="ru-RU"/>
        </w:rPr>
        <w:t>позиции занимают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 ВУЗы, в которых высокая доля обучающихся, относительно общего числа студентов, участвующих и выигрывающих призовые места в мероприятиях </w:t>
      </w:r>
      <w:r w:rsidRPr="009A3992">
        <w:rPr>
          <w:rFonts w:ascii="Times New Roman" w:eastAsia="Times New Roman" w:hAnsi="Times New Roman"/>
          <w:sz w:val="28"/>
          <w:szCs w:val="28"/>
          <w:lang w:eastAsia="ru-RU"/>
        </w:rPr>
        <w:t xml:space="preserve">научной, образовательной направленности международного уровня. По данному показателю активность ВУЗов распределилась следующим образом (рис.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A3992">
        <w:rPr>
          <w:rFonts w:ascii="Times New Roman" w:eastAsia="Times New Roman" w:hAnsi="Times New Roman"/>
          <w:sz w:val="28"/>
          <w:szCs w:val="28"/>
          <w:lang w:eastAsia="ru-RU"/>
        </w:rPr>
        <w:t>):</w:t>
      </w:r>
    </w:p>
    <w:p w:rsidR="00467094" w:rsidRDefault="00467094" w:rsidP="00467094">
      <w:pPr>
        <w:tabs>
          <w:tab w:val="left" w:pos="2445"/>
        </w:tabs>
        <w:spacing w:after="0" w:line="240" w:lineRule="auto"/>
        <w:ind w:righ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99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A399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Высокая активность</w:t>
      </w:r>
      <w:r w:rsidRPr="009A3992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участия студентов в международных научных и образовательных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форумах с получением призовых мест (более 25 баллов)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ВШОЗ, МУА, МУК, МУС (71; 53,45; 33,35 и 25,14 баллов соответственно). </w:t>
      </w:r>
    </w:p>
    <w:p w:rsidR="00467094" w:rsidRDefault="00467094" w:rsidP="00467094">
      <w:pPr>
        <w:tabs>
          <w:tab w:val="left" w:pos="2445"/>
        </w:tabs>
        <w:spacing w:after="0" w:line="240" w:lineRule="auto"/>
        <w:ind w:righ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Средняя активность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(более 15 баллов) отмечена в НМУ (21,98 баллов).</w:t>
      </w:r>
    </w:p>
    <w:p w:rsidR="00467094" w:rsidRDefault="00467094" w:rsidP="00467094">
      <w:pPr>
        <w:tabs>
          <w:tab w:val="left" w:pos="2445"/>
        </w:tabs>
        <w:spacing w:after="0" w:line="240" w:lineRule="auto"/>
        <w:ind w:righ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Низкая активность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(более 5 баллов) – КРМУ и ЮКМА (7,36 и 5,34 баллов соответственно).</w:t>
      </w:r>
    </w:p>
    <w:p w:rsidR="00467094" w:rsidRDefault="00467094" w:rsidP="00467094">
      <w:pPr>
        <w:tabs>
          <w:tab w:val="left" w:pos="2445"/>
        </w:tabs>
        <w:spacing w:after="0" w:line="240" w:lineRule="auto"/>
        <w:ind w:righ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Крайне низкие показатели участия обучающихся в международных конференциях и удостоенных призовых мест (менее 5 баллов) – в ЗКМУ (2,90 баллов). </w:t>
      </w:r>
    </w:p>
    <w:p w:rsidR="00467094" w:rsidRDefault="00467094" w:rsidP="00467094">
      <w:pPr>
        <w:tabs>
          <w:tab w:val="left" w:pos="2445"/>
        </w:tabs>
        <w:spacing w:after="0" w:line="240" w:lineRule="auto"/>
        <w:ind w:righ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7094" w:rsidRDefault="00467094" w:rsidP="00467094">
      <w:pPr>
        <w:tabs>
          <w:tab w:val="left" w:pos="1110"/>
        </w:tabs>
      </w:pPr>
      <w:r>
        <w:rPr>
          <w:noProof/>
          <w:lang w:eastAsia="ru-RU"/>
        </w:rPr>
        <w:lastRenderedPageBreak/>
        <w:drawing>
          <wp:inline distT="0" distB="0" distL="0" distR="0" wp14:anchorId="05C761DB" wp14:editId="4D01D43E">
            <wp:extent cx="5516880" cy="2651760"/>
            <wp:effectExtent l="0" t="0" r="7620" b="15240"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67094" w:rsidRPr="0095403C" w:rsidRDefault="00467094" w:rsidP="00467094">
      <w:pPr>
        <w:tabs>
          <w:tab w:val="left" w:pos="2445"/>
        </w:tabs>
        <w:spacing w:after="0" w:line="240" w:lineRule="auto"/>
        <w:ind w:righ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403C">
        <w:rPr>
          <w:rFonts w:ascii="Times New Roman" w:eastAsia="Times New Roman" w:hAnsi="Times New Roman"/>
          <w:sz w:val="24"/>
          <w:szCs w:val="24"/>
          <w:lang w:eastAsia="ru-RU"/>
        </w:rPr>
        <w:t>Рисунок 3 - Ранжирование ВУЗов по показателю участия обучающихся в международных научных и образовательных форумах с получением призовых мест.</w:t>
      </w:r>
    </w:p>
    <w:p w:rsidR="00467094" w:rsidRDefault="00467094" w:rsidP="00467094">
      <w:pPr>
        <w:tabs>
          <w:tab w:val="left" w:pos="2445"/>
        </w:tabs>
        <w:spacing w:after="0" w:line="240" w:lineRule="auto"/>
        <w:ind w:right="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467094" w:rsidRPr="00F54FBE" w:rsidRDefault="00467094" w:rsidP="00467094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righ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54FBE">
        <w:rPr>
          <w:rFonts w:ascii="Times New Roman" w:hAnsi="Times New Roman"/>
          <w:sz w:val="28"/>
          <w:szCs w:val="28"/>
          <w:u w:val="single"/>
        </w:rPr>
        <w:t xml:space="preserve">Ранжирование по индикатору </w:t>
      </w:r>
      <w:r w:rsidRPr="00F54FBE">
        <w:rPr>
          <w:rFonts w:ascii="Times New Roman" w:hAnsi="Times New Roman"/>
          <w:b/>
          <w:sz w:val="28"/>
          <w:szCs w:val="28"/>
          <w:u w:val="single"/>
        </w:rPr>
        <w:t xml:space="preserve">«востребованность выпускников». </w:t>
      </w:r>
    </w:p>
    <w:p w:rsidR="00467094" w:rsidRPr="009A3992" w:rsidRDefault="00467094" w:rsidP="00467094">
      <w:pPr>
        <w:tabs>
          <w:tab w:val="left" w:pos="851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Индикатор «востребованность выпускников</w:t>
      </w:r>
      <w:r>
        <w:rPr>
          <w:rFonts w:ascii="Times New Roman" w:hAnsi="Times New Roman"/>
          <w:b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отражает данные трудоустройства выпускников медицинского ВУЗа (</w:t>
      </w:r>
      <w:proofErr w:type="spellStart"/>
      <w:r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, интернатуры, магистратуры, докторантуры и резидентуры) и удовлетворенность работодателей. По каждому уровню выпуска представлены данные по фактическому трудоустройству и количеству поступивших на </w:t>
      </w:r>
      <w:r w:rsidRPr="009A3992">
        <w:rPr>
          <w:rFonts w:ascii="Times New Roman" w:hAnsi="Times New Roman"/>
          <w:sz w:val="28"/>
          <w:szCs w:val="28"/>
        </w:rPr>
        <w:t xml:space="preserve">следующий уровень образования в виде доли от общего количества выпускников. </w:t>
      </w:r>
    </w:p>
    <w:p w:rsidR="00467094" w:rsidRDefault="00467094" w:rsidP="00467094">
      <w:pPr>
        <w:tabs>
          <w:tab w:val="left" w:pos="851"/>
        </w:tabs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Ранжированный список с определением места в рейтинге медицинских ВУЗов по результатам оценки индикатора «Востребованность выпускников» отображен на рисунке </w:t>
      </w:r>
      <w:r>
        <w:rPr>
          <w:rFonts w:ascii="Times New Roman" w:hAnsi="Times New Roman"/>
          <w:sz w:val="28"/>
          <w:szCs w:val="28"/>
        </w:rPr>
        <w:t>4</w:t>
      </w:r>
      <w:r w:rsidRPr="009A3992">
        <w:rPr>
          <w:rFonts w:ascii="Times New Roman" w:hAnsi="Times New Roman"/>
          <w:sz w:val="28"/>
          <w:szCs w:val="28"/>
        </w:rPr>
        <w:t>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16"/>
          <w:szCs w:val="16"/>
        </w:rPr>
      </w:pP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16"/>
          <w:szCs w:val="16"/>
        </w:rPr>
      </w:pP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16"/>
          <w:szCs w:val="16"/>
        </w:rPr>
      </w:pPr>
      <w:r>
        <w:rPr>
          <w:noProof/>
          <w:bdr w:val="single" w:sz="4" w:space="0" w:color="auto" w:frame="1"/>
          <w:lang w:eastAsia="ru-RU"/>
        </w:rPr>
        <w:drawing>
          <wp:inline distT="0" distB="0" distL="0" distR="0" wp14:anchorId="5A382584" wp14:editId="37040E5F">
            <wp:extent cx="5737860" cy="2638425"/>
            <wp:effectExtent l="0" t="0" r="15240" b="952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67094" w:rsidRPr="0095403C" w:rsidRDefault="00467094" w:rsidP="00467094">
      <w:pPr>
        <w:spacing w:after="0" w:line="240" w:lineRule="auto"/>
        <w:ind w:right="0"/>
        <w:jc w:val="center"/>
        <w:rPr>
          <w:rFonts w:ascii="Times New Roman" w:hAnsi="Times New Roman"/>
          <w:sz w:val="24"/>
          <w:szCs w:val="24"/>
        </w:rPr>
      </w:pPr>
      <w:r w:rsidRPr="0095403C">
        <w:rPr>
          <w:rFonts w:ascii="Times New Roman" w:hAnsi="Times New Roman"/>
          <w:sz w:val="24"/>
          <w:szCs w:val="24"/>
        </w:rPr>
        <w:t xml:space="preserve">Рисунок 4 - Рейтинг образовательной деятельности ВУЗов по показателю «востребованность выпускников» </w:t>
      </w:r>
    </w:p>
    <w:p w:rsidR="00467094" w:rsidRDefault="00467094" w:rsidP="00467094">
      <w:pPr>
        <w:spacing w:after="0" w:line="240" w:lineRule="auto"/>
        <w:ind w:right="0"/>
        <w:jc w:val="center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 следует из таблицы востребованность выпускников: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Высокая</w:t>
      </w:r>
      <w:r>
        <w:rPr>
          <w:rFonts w:ascii="Times New Roman" w:hAnsi="Times New Roman"/>
          <w:sz w:val="28"/>
          <w:szCs w:val="28"/>
        </w:rPr>
        <w:t xml:space="preserve"> (более 200 баллов): МУК, ЗКМУ, МУС, МУА, НМУ;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Средняя </w:t>
      </w:r>
      <w:r>
        <w:rPr>
          <w:rFonts w:ascii="Times New Roman" w:hAnsi="Times New Roman"/>
          <w:sz w:val="28"/>
          <w:szCs w:val="28"/>
        </w:rPr>
        <w:t>(более 100 баллов): ЮКМА, КРМУ, ВШОЗ;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Низкая</w:t>
      </w:r>
      <w:r>
        <w:rPr>
          <w:rFonts w:ascii="Times New Roman" w:hAnsi="Times New Roman"/>
          <w:sz w:val="28"/>
          <w:szCs w:val="28"/>
        </w:rPr>
        <w:t>: (менее 100 баллов) не отмечена ни в одном ВУЗе.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  <w:u w:val="single"/>
        </w:rPr>
        <w:t xml:space="preserve">Ранжирование по индикатору </w:t>
      </w:r>
      <w:r>
        <w:rPr>
          <w:rFonts w:ascii="Times New Roman" w:hAnsi="Times New Roman"/>
          <w:b/>
          <w:sz w:val="28"/>
          <w:szCs w:val="28"/>
          <w:u w:val="single"/>
        </w:rPr>
        <w:t>«Интернационализация медицинского образования».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Индикатор «Интернационализация медицинского образования» исчисляется как сумма балльных значений по следующим компонентам: 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Доля иностранных студентов, обучающихся в ВУЗе (%);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Доля студентов, обучающихся на английском языке (%);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Доля студентов, обучающихся по программам трёхъязычного обучения (казахский, русский, английский) (%);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также академической мобильности обучающихся в / из (исходящая / входящая) ВУЗы Казахстана, ближнего и дальнего зарубежья: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Доля обучающихся, участвующих в программах академической мобильности в ВУЗах РК (исходящая) (%);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Доля обучающихся, участвующих в программах академической мобильности в ВУЗах РК (входящая) (%);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Доля обучающихся, участвующих в программах академической мобильности в ВУЗах ближнего зарубежья (исходящая) (%);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Доля обучающихся, участвующих в программах академической мобильности в ВУЗах ближнего зарубежья (входящая) (%);</w:t>
      </w:r>
    </w:p>
    <w:p w:rsidR="00467094" w:rsidRPr="009A3992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 Доля обучающихся, участвующих в программах академической мобильности в ВУЗах дальнего </w:t>
      </w:r>
      <w:r w:rsidRPr="009A3992">
        <w:rPr>
          <w:rFonts w:ascii="Times New Roman" w:hAnsi="Times New Roman"/>
          <w:sz w:val="28"/>
          <w:szCs w:val="28"/>
        </w:rPr>
        <w:t>зарубежья (исходящая) (%);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>3.9. Доля обучающихся, участвующих в программах академической мобильности в ВУЗах дальнего зарубежья (входящая) (%).</w:t>
      </w:r>
    </w:p>
    <w:p w:rsidR="00467094" w:rsidRDefault="00467094" w:rsidP="00467094">
      <w:pPr>
        <w:spacing w:after="0" w:line="240" w:lineRule="auto"/>
        <w:ind w:right="0" w:firstLine="708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На рисунке </w:t>
      </w:r>
      <w:r>
        <w:rPr>
          <w:rFonts w:ascii="Times New Roman" w:hAnsi="Times New Roman"/>
          <w:sz w:val="28"/>
          <w:szCs w:val="28"/>
        </w:rPr>
        <w:t>5</w:t>
      </w:r>
      <w:r w:rsidRPr="009A3992">
        <w:rPr>
          <w:rFonts w:ascii="Times New Roman" w:hAnsi="Times New Roman"/>
          <w:sz w:val="28"/>
          <w:szCs w:val="28"/>
        </w:rPr>
        <w:t xml:space="preserve"> представлен ранжированный список медицинских ВУЗов с определением места в рейтинге по показателю «Интернационализация медицинского образования</w:t>
      </w:r>
      <w:r>
        <w:rPr>
          <w:rFonts w:ascii="Times New Roman" w:hAnsi="Times New Roman"/>
          <w:sz w:val="28"/>
          <w:szCs w:val="28"/>
        </w:rPr>
        <w:t>».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467094" w:rsidRPr="00FF6E20" w:rsidRDefault="00467094" w:rsidP="00467094">
      <w:pPr>
        <w:spacing w:after="0" w:line="240" w:lineRule="auto"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A82F0D" wp14:editId="1C21C5B7">
            <wp:extent cx="5940425" cy="3095554"/>
            <wp:effectExtent l="0" t="0" r="3175" b="1016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FF6E20">
        <w:rPr>
          <w:rFonts w:ascii="Times New Roman" w:hAnsi="Times New Roman"/>
          <w:sz w:val="28"/>
          <w:szCs w:val="28"/>
        </w:rPr>
        <w:t xml:space="preserve"> </w:t>
      </w:r>
      <w:r w:rsidRPr="00FF6E20">
        <w:rPr>
          <w:rFonts w:ascii="Times New Roman" w:hAnsi="Times New Roman"/>
          <w:sz w:val="24"/>
          <w:szCs w:val="24"/>
        </w:rPr>
        <w:t>Рисунок 5 - Ранжирование медицинских ВУЗов по результатам оценки индикатора «Интернационализация медицинского образования».</w:t>
      </w:r>
    </w:p>
    <w:p w:rsidR="00467094" w:rsidRPr="009A3992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16"/>
          <w:szCs w:val="16"/>
        </w:rPr>
      </w:pPr>
    </w:p>
    <w:p w:rsidR="00467094" w:rsidRPr="009A3992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Как видно на рисунке </w:t>
      </w:r>
      <w:r>
        <w:rPr>
          <w:rFonts w:ascii="Times New Roman" w:hAnsi="Times New Roman"/>
          <w:sz w:val="28"/>
          <w:szCs w:val="28"/>
        </w:rPr>
        <w:t>5</w:t>
      </w:r>
      <w:r w:rsidRPr="009A3992">
        <w:rPr>
          <w:rFonts w:ascii="Times New Roman" w:hAnsi="Times New Roman"/>
          <w:sz w:val="28"/>
          <w:szCs w:val="28"/>
        </w:rPr>
        <w:t>: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  <w:u w:val="single"/>
        </w:rPr>
        <w:t>высокий уровень</w:t>
      </w:r>
      <w:r w:rsidRPr="009A3992">
        <w:rPr>
          <w:rFonts w:ascii="Times New Roman" w:hAnsi="Times New Roman"/>
          <w:sz w:val="28"/>
          <w:szCs w:val="28"/>
        </w:rPr>
        <w:t xml:space="preserve"> (свыше 200 баллов) интернационализации медицинского образования, относительно</w:t>
      </w:r>
      <w:r>
        <w:rPr>
          <w:rFonts w:ascii="Times New Roman" w:hAnsi="Times New Roman"/>
          <w:sz w:val="28"/>
          <w:szCs w:val="28"/>
        </w:rPr>
        <w:t xml:space="preserve"> общего количества обучающихся, отмечается в следующих ВУЗах: МУС и МУА;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средний уровень </w:t>
      </w:r>
      <w:r>
        <w:rPr>
          <w:rFonts w:ascii="Times New Roman" w:hAnsi="Times New Roman"/>
          <w:sz w:val="28"/>
          <w:szCs w:val="28"/>
        </w:rPr>
        <w:t>(свыше 100 баллов) НМУ, МУК, ВШОЗ, ЗКМУ;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низкий уровень </w:t>
      </w:r>
      <w:r>
        <w:rPr>
          <w:rFonts w:ascii="Times New Roman" w:hAnsi="Times New Roman"/>
          <w:sz w:val="28"/>
          <w:szCs w:val="28"/>
        </w:rPr>
        <w:t>(менее 100 баллов): ЮКМА и КРМУ.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высокая доля иностранных студентов (19,16%) в МУК; студентов, обучающихся на английском языке (20,70%) в НМУ и (20,0%) в МУК. 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Самый высокий процент обучающихся по программам </w:t>
      </w:r>
      <w:proofErr w:type="spellStart"/>
      <w:r>
        <w:rPr>
          <w:rFonts w:ascii="Times New Roman" w:hAnsi="Times New Roman"/>
          <w:sz w:val="28"/>
          <w:szCs w:val="28"/>
        </w:rPr>
        <w:t>полиязычного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образования в НМУ (51,70%).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средних показателей доли обучающихся, участвующих в академической мобильности от общего числа студентов, </w:t>
      </w:r>
      <w:r>
        <w:rPr>
          <w:rFonts w:ascii="Times New Roman" w:hAnsi="Times New Roman"/>
          <w:sz w:val="28"/>
          <w:szCs w:val="28"/>
          <w:u w:val="single"/>
        </w:rPr>
        <w:t>наилучшие показатели</w:t>
      </w:r>
      <w:r>
        <w:rPr>
          <w:rFonts w:ascii="Times New Roman" w:hAnsi="Times New Roman"/>
          <w:sz w:val="28"/>
          <w:szCs w:val="28"/>
        </w:rPr>
        <w:t xml:space="preserve"> академической мобильности в следующих ВУЗах: ВШОЗ (2,61%), МУА (2,02%), МУС (1,93%) и ЗКМУ (1,71%), средние показатели в МУК (0,95%) и НМУ (0,9%), низкие – в ЮКМА (0,13%). Нулевой показатель в КРМУ (0,00%).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hAnsi="Times New Roman"/>
          <w:sz w:val="28"/>
          <w:szCs w:val="28"/>
          <w:u w:val="single"/>
        </w:rPr>
        <w:t xml:space="preserve">Ранжирование по индикатору </w:t>
      </w:r>
      <w:r>
        <w:rPr>
          <w:rFonts w:ascii="Times New Roman" w:hAnsi="Times New Roman"/>
          <w:b/>
          <w:sz w:val="28"/>
          <w:szCs w:val="28"/>
          <w:u w:val="single"/>
        </w:rPr>
        <w:t>«Уровень ППС».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Индикатор «Уровень ППС» отображает качество человеческого капитала, от него напрямую зависят другие индикаторы образовательной деятельности; компоненты индикатора включают в себя знание английского и других иностранных языков, подтвержденное сертификатами (доля от общего количества преподавателей), академическая мобильность ППС (исходящая и входящая, в разрезе ВУЗов РК, ближнего и дальнего зарубежья); под академической мобильностью понимается выезд преподавателя в другие ВУЗы с целью осуществления преподавательской деятельности. 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lastRenderedPageBreak/>
        <w:t>Ранжированный список с определением места в рейтинге медицинских ВУЗов по результатам оценки индикатора «Уровень ППС» отображен на рисунке 6</w:t>
      </w:r>
      <w:r>
        <w:rPr>
          <w:rFonts w:ascii="Times New Roman" w:hAnsi="Times New Roman"/>
          <w:sz w:val="28"/>
          <w:szCs w:val="28"/>
        </w:rPr>
        <w:t>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AAB59A" wp14:editId="6E05B0A8">
            <wp:extent cx="5234940" cy="2733675"/>
            <wp:effectExtent l="0" t="0" r="3810" b="9525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67094" w:rsidRPr="00FF6E20" w:rsidRDefault="00467094" w:rsidP="00467094">
      <w:pPr>
        <w:spacing w:after="0" w:line="240" w:lineRule="auto"/>
        <w:ind w:right="0" w:firstLine="567"/>
        <w:jc w:val="center"/>
        <w:rPr>
          <w:rFonts w:ascii="Times New Roman" w:hAnsi="Times New Roman"/>
          <w:sz w:val="24"/>
          <w:szCs w:val="24"/>
        </w:rPr>
      </w:pPr>
      <w:r w:rsidRPr="00FF6E20">
        <w:rPr>
          <w:rFonts w:ascii="Times New Roman" w:hAnsi="Times New Roman"/>
          <w:sz w:val="24"/>
          <w:szCs w:val="24"/>
        </w:rPr>
        <w:t>Рисунок 6 - Данные рейтинга медицинских ВУЗов по индикатору «Уровень ППС»</w:t>
      </w:r>
    </w:p>
    <w:p w:rsidR="00467094" w:rsidRPr="009A3992" w:rsidRDefault="00467094" w:rsidP="00467094">
      <w:pPr>
        <w:spacing w:after="0" w:line="240" w:lineRule="auto"/>
        <w:ind w:right="0" w:firstLine="567"/>
        <w:jc w:val="center"/>
        <w:rPr>
          <w:rFonts w:ascii="Times New Roman" w:hAnsi="Times New Roman"/>
          <w:sz w:val="16"/>
          <w:szCs w:val="16"/>
        </w:rPr>
      </w:pPr>
    </w:p>
    <w:p w:rsidR="00467094" w:rsidRPr="009A3992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>Как видно на рисунке 6</w:t>
      </w:r>
      <w:r>
        <w:rPr>
          <w:rFonts w:ascii="Times New Roman" w:hAnsi="Times New Roman"/>
          <w:sz w:val="28"/>
          <w:szCs w:val="28"/>
        </w:rPr>
        <w:t>,</w:t>
      </w:r>
      <w:r w:rsidRPr="009A3992">
        <w:rPr>
          <w:rFonts w:ascii="Times New Roman" w:hAnsi="Times New Roman"/>
          <w:sz w:val="28"/>
          <w:szCs w:val="28"/>
        </w:rPr>
        <w:t xml:space="preserve"> лидирующие позиции по показателю «Уровень ППС» занимают НМУ (597,51), МУС (563,23) и МУА (494,92). Средние показатели в ЗКМУ (306,77), ЮКМА (304,35) и ВШОЗ (187,50) Низкие показатели, менее 150 баллов в МУК (110,22). Самые низкие баллы, менее 100, в КРМУ (62,37).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На показатель «Уровень ППС» влияет не только академическая мобильность, а также уровень знания иностранного языка. Данные по знанию иностранного языка подтверждаются сертификатами. Ранжирование ВУЗов по этому показателю представлено на рисунке </w:t>
      </w:r>
      <w:r>
        <w:rPr>
          <w:rFonts w:ascii="Times New Roman" w:hAnsi="Times New Roman"/>
          <w:sz w:val="28"/>
          <w:szCs w:val="28"/>
        </w:rPr>
        <w:t>7.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/>
        <w:rPr>
          <w:rFonts w:ascii="Times New Roman" w:hAnsi="Times New Roman"/>
          <w:sz w:val="10"/>
          <w:szCs w:val="10"/>
        </w:rPr>
      </w:pPr>
    </w:p>
    <w:p w:rsidR="00467094" w:rsidRDefault="00467094" w:rsidP="00467094">
      <w:pPr>
        <w:spacing w:after="0" w:line="240" w:lineRule="auto"/>
        <w:ind w:right="0" w:firstLine="708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/>
        <w:jc w:val="center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/>
        <w:jc w:val="center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 w:firstLine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570375" wp14:editId="042C8509">
            <wp:extent cx="5212080" cy="2552700"/>
            <wp:effectExtent l="0" t="0" r="762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FF6E20">
        <w:rPr>
          <w:rFonts w:ascii="Times New Roman" w:hAnsi="Times New Roman"/>
          <w:color w:val="FFFFFF" w:themeColor="background1"/>
          <w:sz w:val="28"/>
          <w:szCs w:val="28"/>
        </w:rPr>
        <w:t>я</w:t>
      </w:r>
    </w:p>
    <w:p w:rsidR="00467094" w:rsidRPr="00FF6E20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4"/>
          <w:szCs w:val="24"/>
        </w:rPr>
      </w:pPr>
      <w:r w:rsidRPr="00FF6E20">
        <w:rPr>
          <w:rFonts w:ascii="Times New Roman" w:hAnsi="Times New Roman"/>
          <w:sz w:val="24"/>
          <w:szCs w:val="24"/>
        </w:rPr>
        <w:lastRenderedPageBreak/>
        <w:t>Рисунок 7 - Ранжирование ВУЗов по показателю «Знание иностранного языка»</w:t>
      </w:r>
    </w:p>
    <w:p w:rsidR="00467094" w:rsidRDefault="00467094" w:rsidP="00467094">
      <w:pPr>
        <w:spacing w:after="0" w:line="240" w:lineRule="auto"/>
        <w:ind w:right="0" w:firstLine="708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Самый высокий показатель по знанию иностранного языка в ЮКМА (13,04% - 65,2 балла). Самый низкий в КРМУ (0,41% - 2,05 балла). </w:t>
      </w:r>
    </w:p>
    <w:p w:rsidR="00467094" w:rsidRDefault="00467094" w:rsidP="00467094">
      <w:pPr>
        <w:tabs>
          <w:tab w:val="left" w:pos="1110"/>
        </w:tabs>
      </w:pP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суммарный </w:t>
      </w:r>
      <w:r w:rsidRPr="009A3992">
        <w:rPr>
          <w:rFonts w:ascii="Times New Roman" w:hAnsi="Times New Roman"/>
          <w:sz w:val="28"/>
          <w:szCs w:val="28"/>
        </w:rPr>
        <w:t xml:space="preserve">рейтинг (табл. </w:t>
      </w:r>
      <w:r>
        <w:rPr>
          <w:rFonts w:ascii="Times New Roman" w:hAnsi="Times New Roman"/>
          <w:sz w:val="28"/>
          <w:szCs w:val="28"/>
        </w:rPr>
        <w:t>1</w:t>
      </w:r>
      <w:r w:rsidRPr="009A3992">
        <w:rPr>
          <w:rFonts w:ascii="Times New Roman" w:hAnsi="Times New Roman"/>
          <w:sz w:val="28"/>
          <w:szCs w:val="28"/>
        </w:rPr>
        <w:t>) возглавили</w:t>
      </w:r>
      <w:r>
        <w:rPr>
          <w:rFonts w:ascii="Times New Roman" w:hAnsi="Times New Roman"/>
          <w:sz w:val="28"/>
          <w:szCs w:val="28"/>
        </w:rPr>
        <w:t xml:space="preserve"> пять ВУЗов - НАО «</w:t>
      </w:r>
      <w:proofErr w:type="gramStart"/>
      <w:r>
        <w:rPr>
          <w:rFonts w:ascii="Times New Roman" w:hAnsi="Times New Roman"/>
          <w:sz w:val="28"/>
          <w:szCs w:val="28"/>
        </w:rPr>
        <w:t>Западно-Казахстанский</w:t>
      </w:r>
      <w:proofErr w:type="gramEnd"/>
      <w:r>
        <w:rPr>
          <w:rFonts w:ascii="Times New Roman" w:hAnsi="Times New Roman"/>
          <w:sz w:val="28"/>
          <w:szCs w:val="28"/>
        </w:rPr>
        <w:t xml:space="preserve"> медицинский университет» (772,37 баллов), НАО «Национальный медицинский университет имени Д. </w:t>
      </w:r>
      <w:proofErr w:type="spellStart"/>
      <w:r>
        <w:rPr>
          <w:rFonts w:ascii="Times New Roman" w:hAnsi="Times New Roman"/>
          <w:sz w:val="28"/>
          <w:szCs w:val="28"/>
        </w:rPr>
        <w:t>Асфендиярова</w:t>
      </w:r>
      <w:proofErr w:type="spellEnd"/>
      <w:r>
        <w:rPr>
          <w:rFonts w:ascii="Times New Roman" w:hAnsi="Times New Roman"/>
          <w:sz w:val="28"/>
          <w:szCs w:val="28"/>
        </w:rPr>
        <w:t xml:space="preserve">» (748,15 баллов), НАО «Медицинский университет Семей» (714,98 баллов), НАО «Медицинский университет Караганды» (703,10 баллов) и НАО «Медицинский университет Астана» (700,69 баллов) со значением, соответствующим уровню 5 звезд (суммарный рейтинг более 700 баллов). 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Рейтинг 4 звезды удостоился один ВУЗ с суммой баллов более 600 – АО «Южно-Казахстанская медицинская академия» (600,04 баллов).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звезды с суммой баллов свыше 500 и 1 звезду с суммой баллов не менее 300 баллов не получил ни один ВУЗ.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звезды в рейтинге ВУЗов с суммой баллов более 400 получил НУО «Казахстанско-Российский медицинский университет» (473,49 баллов).</w:t>
      </w: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Замыкает рейтинговую оценку Высшая школа общественного здравоохранения с суммой баллов 267,62.  </w:t>
      </w:r>
    </w:p>
    <w:p w:rsidR="00467094" w:rsidRDefault="00467094" w:rsidP="00467094">
      <w:pPr>
        <w:spacing w:after="0" w:line="240" w:lineRule="auto"/>
        <w:ind w:right="0"/>
        <w:jc w:val="both"/>
        <w:rPr>
          <w:rFonts w:ascii="Times New Roman" w:hAnsi="Times New Roman"/>
          <w:sz w:val="10"/>
          <w:szCs w:val="10"/>
        </w:rPr>
      </w:pPr>
    </w:p>
    <w:p w:rsidR="00467094" w:rsidRPr="00D828E1" w:rsidRDefault="00467094" w:rsidP="00467094">
      <w:pPr>
        <w:spacing w:after="0" w:line="240" w:lineRule="auto"/>
        <w:ind w:right="0" w:firstLine="567"/>
        <w:rPr>
          <w:rFonts w:ascii="Times New Roman" w:hAnsi="Times New Roman"/>
          <w:sz w:val="24"/>
          <w:szCs w:val="24"/>
        </w:rPr>
      </w:pPr>
      <w:r w:rsidRPr="00D828E1">
        <w:rPr>
          <w:rFonts w:ascii="Times New Roman" w:hAnsi="Times New Roman"/>
          <w:sz w:val="24"/>
          <w:szCs w:val="24"/>
        </w:rPr>
        <w:t>Таблица 1. – Суммарная рейтинговая оценка образовательной деятельности ВУЗов Республики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5"/>
        <w:gridCol w:w="2375"/>
        <w:gridCol w:w="4605"/>
      </w:tblGrid>
      <w:tr w:rsidR="00467094" w:rsidTr="004B2900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94" w:rsidRDefault="00467094" w:rsidP="004B29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Интервалы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ВУЗы</w:t>
            </w:r>
          </w:p>
        </w:tc>
      </w:tr>
      <w:tr w:rsidR="00467094" w:rsidRPr="0083338D" w:rsidTr="004B2900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*****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700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ЗКМУ, НМУ, МУС, МУА, МУК</w:t>
            </w:r>
          </w:p>
        </w:tc>
      </w:tr>
      <w:tr w:rsidR="00467094" w:rsidTr="004B2900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****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600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ЮКМА</w:t>
            </w:r>
          </w:p>
        </w:tc>
      </w:tr>
      <w:tr w:rsidR="00467094" w:rsidTr="004B2900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***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500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67094" w:rsidTr="004B2900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400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КРМУ</w:t>
            </w:r>
          </w:p>
        </w:tc>
      </w:tr>
      <w:tr w:rsidR="00467094" w:rsidTr="004B2900"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300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4" w:rsidRDefault="00467094" w:rsidP="004B29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3992">
        <w:rPr>
          <w:rFonts w:ascii="Times New Roman" w:hAnsi="Times New Roman"/>
          <w:sz w:val="28"/>
          <w:szCs w:val="28"/>
        </w:rPr>
        <w:t xml:space="preserve">Сводные данные и расчет рейтинговой оценки образовательной </w:t>
      </w:r>
      <w:r>
        <w:rPr>
          <w:rFonts w:ascii="Times New Roman" w:hAnsi="Times New Roman"/>
          <w:sz w:val="28"/>
          <w:szCs w:val="28"/>
        </w:rPr>
        <w:t>д</w:t>
      </w:r>
      <w:r w:rsidRPr="009A3992">
        <w:rPr>
          <w:rFonts w:ascii="Times New Roman" w:hAnsi="Times New Roman"/>
          <w:sz w:val="28"/>
          <w:szCs w:val="28"/>
        </w:rPr>
        <w:t xml:space="preserve">еятельности медицинских ВУЗов представлен на рисунке </w:t>
      </w:r>
      <w:r>
        <w:rPr>
          <w:rFonts w:ascii="Times New Roman" w:hAnsi="Times New Roman"/>
          <w:sz w:val="28"/>
          <w:szCs w:val="28"/>
        </w:rPr>
        <w:t>8</w:t>
      </w:r>
      <w:r w:rsidRPr="009A3992">
        <w:rPr>
          <w:rFonts w:ascii="Times New Roman" w:hAnsi="Times New Roman"/>
          <w:sz w:val="28"/>
          <w:szCs w:val="28"/>
        </w:rPr>
        <w:t>.</w:t>
      </w: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r>
        <w:rPr>
          <w:noProof/>
          <w:lang w:eastAsia="ru-RU"/>
        </w:rPr>
        <w:lastRenderedPageBreak/>
        <w:drawing>
          <wp:inline distT="0" distB="0" distL="0" distR="0" wp14:anchorId="3AF8628B" wp14:editId="65E931C8">
            <wp:extent cx="5753100" cy="2720340"/>
            <wp:effectExtent l="0" t="0" r="0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67094" w:rsidRPr="00D828E1" w:rsidRDefault="00467094" w:rsidP="0046709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828E1">
        <w:rPr>
          <w:rFonts w:ascii="Times New Roman" w:hAnsi="Times New Roman"/>
          <w:sz w:val="24"/>
          <w:szCs w:val="24"/>
        </w:rPr>
        <w:t xml:space="preserve">Рисунок 8 - </w:t>
      </w:r>
      <w:r w:rsidRPr="00D828E1">
        <w:rPr>
          <w:rFonts w:ascii="Times New Roman" w:hAnsi="Times New Roman"/>
          <w:bCs/>
          <w:sz w:val="24"/>
          <w:szCs w:val="24"/>
        </w:rPr>
        <w:t>Рейтинг медицинских ВУЗов по результатам образовательной деятельности</w:t>
      </w:r>
    </w:p>
    <w:p w:rsidR="00467094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67094" w:rsidRDefault="00467094" w:rsidP="00467094">
      <w:pPr>
        <w:spacing w:after="0" w:line="240" w:lineRule="auto"/>
        <w:ind w:right="0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ВЫВОДЫ </w:t>
      </w:r>
    </w:p>
    <w:p w:rsidR="00467094" w:rsidRPr="00492CF1" w:rsidRDefault="00467094" w:rsidP="00467094">
      <w:pPr>
        <w:spacing w:after="0" w:line="240" w:lineRule="auto"/>
        <w:ind w:right="0"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92CF1">
        <w:rPr>
          <w:rFonts w:ascii="Times New Roman" w:hAnsi="Times New Roman"/>
          <w:b/>
          <w:sz w:val="28"/>
          <w:szCs w:val="28"/>
          <w:u w:val="single"/>
        </w:rPr>
        <w:t>Медицинские ВУЗы:</w:t>
      </w:r>
    </w:p>
    <w:p w:rsidR="00467094" w:rsidRDefault="00467094" w:rsidP="00467094">
      <w:pPr>
        <w:tabs>
          <w:tab w:val="left" w:pos="2445"/>
        </w:tabs>
        <w:spacing w:after="0" w:line="240" w:lineRule="auto"/>
        <w:ind w:righ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1. По индикатору «Качество подготовки», доля выпускников интернатуры и резидентуры, успешно прошедших независимую </w:t>
      </w:r>
      <w:proofErr w:type="spellStart"/>
      <w:r>
        <w:rPr>
          <w:rFonts w:ascii="Times New Roman" w:hAnsi="Times New Roman"/>
          <w:sz w:val="28"/>
          <w:szCs w:val="28"/>
        </w:rPr>
        <w:t>экзаменацию</w:t>
      </w:r>
      <w:proofErr w:type="spellEnd"/>
      <w:r>
        <w:rPr>
          <w:rFonts w:ascii="Times New Roman" w:hAnsi="Times New Roman"/>
          <w:sz w:val="28"/>
          <w:szCs w:val="28"/>
        </w:rPr>
        <w:t xml:space="preserve"> по всем ВУЗам колеблется в пределах 92,9 – 100%, за исключением ВШОЗ, который не готовит интернов и резидентов. Наиболее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ысокая активность участия студентов в международных научных и образовательных форумах с получением призовых мест отмечается в ВШОЗ (71 балл), за счет контингента обучающихся и крайне низкая в ЗКМУ (2,90 баллов). </w:t>
      </w: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По индикатору «Уровень ППС» – доля ППС, участвующих в академической мобильности не превышает 10,4% по сумме всех ВУЗов. В некоторых ВУЗах в отчетном году ППС не участвовали (ВШОЗ) в академической мобильности. По владению английским и другими иностранными языками - средняя доля владеющих языками в ВУЗах составила 5,6%. Очень низкий показатель </w:t>
      </w:r>
      <w:proofErr w:type="spellStart"/>
      <w:r>
        <w:rPr>
          <w:rFonts w:ascii="Times New Roman" w:hAnsi="Times New Roman"/>
          <w:sz w:val="28"/>
          <w:szCs w:val="28"/>
        </w:rPr>
        <w:t>визитинга</w:t>
      </w:r>
      <w:proofErr w:type="spellEnd"/>
      <w:r>
        <w:rPr>
          <w:rFonts w:ascii="Times New Roman" w:hAnsi="Times New Roman"/>
          <w:sz w:val="28"/>
          <w:szCs w:val="28"/>
        </w:rPr>
        <w:t xml:space="preserve"> – 2,4%.</w:t>
      </w: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Уровень участия обучающихся в академической мобильности в среднем по всем ВУЗам составил 4,5%, средний показатель участия обучающихся в международных научных и образовательных форумах с получением призовых мест составил всего - 0,48%; средний показатель обучающихся на английском языке – 14,7%, в </w:t>
      </w:r>
      <w:proofErr w:type="spellStart"/>
      <w:r>
        <w:rPr>
          <w:rFonts w:ascii="Times New Roman" w:hAnsi="Times New Roman"/>
          <w:sz w:val="28"/>
          <w:szCs w:val="28"/>
        </w:rPr>
        <w:t>полиязычных</w:t>
      </w:r>
      <w:proofErr w:type="spellEnd"/>
      <w:r>
        <w:rPr>
          <w:rFonts w:ascii="Times New Roman" w:hAnsi="Times New Roman"/>
          <w:sz w:val="28"/>
          <w:szCs w:val="28"/>
        </w:rPr>
        <w:t xml:space="preserve"> группах – 0,17% от общего числа обучающихся всех ВУЗов.</w:t>
      </w: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Средний показатель трудоустройства выпускников </w:t>
      </w:r>
      <w:proofErr w:type="spellStart"/>
      <w:r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 и интернатуры в тех ВУЗах, где был выпуск, составил 63,9%; средняя доля поступивших на следующий уровень образования – 29,1%. Среди магистрантов - процент трудоустройства составил 88,6%, поступивших – 2,7%. Среди докторантов – 97,6% трудоустройства. Среди резидентов - процент трудоустройства составляет – 92,0%; процент поступивших на следующий уровень – 1,8%. Среди ВУЗов по востребованности с разбросом </w:t>
      </w:r>
      <w:r>
        <w:rPr>
          <w:rFonts w:ascii="Times New Roman" w:hAnsi="Times New Roman"/>
          <w:sz w:val="28"/>
          <w:szCs w:val="28"/>
        </w:rPr>
        <w:lastRenderedPageBreak/>
        <w:t>балльных значений около 1 (единицы) лидируют следующие ВУЗы: МУК, ЗКМУ, МУС, МУА и НМУ (243,65; 241,20; 235,12; 234,53 и 225,79 баллов соответственно).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По показателю «Интернационализация медицинского образования» разрыв между наибольшим (296,62) и наименьшим (33,32) значением рейтинга составляет 263,3 баллов. </w:t>
      </w: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Безусловными лидерами рейтинга являются ЗКМУ, НМУ, МУС, МУА, МУК, в основном за счет таких показателей, как «Качество подготовки» - МУА, «Востребованность выпускников» - МУК и ЗКМУ, «Уровень ППС» - НМУ, «Интернационализация образования» - МУС.</w:t>
      </w: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Аутсайдером рейтинга является ВШОЗ, что обусловлено отсутствием подготовки и выпуска интернов и резидентов и, соответственно, независимой оценки знаний по этим обучающимся, то есть сразу по этим показателям ВШОЗ получает нулевые баллы.</w:t>
      </w:r>
    </w:p>
    <w:p w:rsidR="00467094" w:rsidRDefault="00467094" w:rsidP="00467094">
      <w:pPr>
        <w:spacing w:after="0" w:line="240" w:lineRule="auto"/>
        <w:ind w:right="0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467094" w:rsidRPr="00492CF1" w:rsidRDefault="00467094" w:rsidP="00467094">
      <w:pPr>
        <w:spacing w:after="0" w:line="240" w:lineRule="auto"/>
        <w:ind w:right="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92CF1">
        <w:rPr>
          <w:rFonts w:ascii="Times New Roman" w:hAnsi="Times New Roman"/>
          <w:b/>
          <w:sz w:val="28"/>
          <w:szCs w:val="28"/>
          <w:u w:val="single"/>
        </w:rPr>
        <w:t>Медицинским ВУЗам:</w:t>
      </w:r>
    </w:p>
    <w:p w:rsidR="00467094" w:rsidRPr="00492CF1" w:rsidRDefault="00467094" w:rsidP="00467094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492CF1">
        <w:rPr>
          <w:rFonts w:ascii="Times New Roman" w:hAnsi="Times New Roman"/>
          <w:sz w:val="28"/>
          <w:szCs w:val="28"/>
        </w:rPr>
        <w:t>Активизировать работу студентов по участию в международных олимпиадах, конференций, конкурсов, соревнований научного, практического и образовательного направления с получением призовых мест.</w:t>
      </w:r>
    </w:p>
    <w:p w:rsidR="00467094" w:rsidRPr="00492CF1" w:rsidRDefault="00467094" w:rsidP="00467094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492CF1">
        <w:rPr>
          <w:rFonts w:ascii="Times New Roman" w:hAnsi="Times New Roman"/>
          <w:sz w:val="28"/>
          <w:szCs w:val="28"/>
        </w:rPr>
        <w:t xml:space="preserve">Рассмотреть возможности увеличения уровня участия обучающихся в академической мобильности, а также повышения показателя обучающихся на английском языке и в </w:t>
      </w:r>
      <w:proofErr w:type="spellStart"/>
      <w:r w:rsidRPr="00492CF1">
        <w:rPr>
          <w:rFonts w:ascii="Times New Roman" w:hAnsi="Times New Roman"/>
          <w:sz w:val="28"/>
          <w:szCs w:val="28"/>
        </w:rPr>
        <w:t>полиязычных</w:t>
      </w:r>
      <w:proofErr w:type="spellEnd"/>
      <w:r w:rsidRPr="00492CF1">
        <w:rPr>
          <w:rFonts w:ascii="Times New Roman" w:hAnsi="Times New Roman"/>
          <w:sz w:val="28"/>
          <w:szCs w:val="28"/>
        </w:rPr>
        <w:t xml:space="preserve"> группах.</w:t>
      </w:r>
    </w:p>
    <w:p w:rsidR="00467094" w:rsidRPr="00492CF1" w:rsidRDefault="00467094" w:rsidP="00467094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492CF1">
        <w:rPr>
          <w:rFonts w:ascii="Times New Roman" w:hAnsi="Times New Roman"/>
          <w:sz w:val="28"/>
          <w:szCs w:val="28"/>
        </w:rPr>
        <w:t>Активизировать мероприятия в отношении повышения потенциала ППС, в частности в развитии академической мобильности и владении английским и другими иностранными языками.</w:t>
      </w:r>
    </w:p>
    <w:p w:rsidR="00467094" w:rsidRPr="00492CF1" w:rsidRDefault="00467094" w:rsidP="00467094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 w:rsidRPr="00492CF1">
        <w:rPr>
          <w:rFonts w:ascii="Times New Roman" w:hAnsi="Times New Roman"/>
          <w:sz w:val="28"/>
          <w:szCs w:val="28"/>
        </w:rPr>
        <w:t>Рассмотреть возможности повышения доли приглашенных зарубежных преподавателей в общем количестве ППС медицинских ВУЗов.</w:t>
      </w:r>
    </w:p>
    <w:p w:rsidR="00467094" w:rsidRPr="00492CF1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7094" w:rsidRDefault="00467094" w:rsidP="004670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6DF2" w:rsidRDefault="001C6DF2"/>
    <w:sectPr w:rsidR="001C6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23ED"/>
    <w:multiLevelType w:val="hybridMultilevel"/>
    <w:tmpl w:val="11C03C00"/>
    <w:lvl w:ilvl="0" w:tplc="DE5272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86F67F2"/>
    <w:multiLevelType w:val="hybridMultilevel"/>
    <w:tmpl w:val="DA14D1EA"/>
    <w:lvl w:ilvl="0" w:tplc="EE4C5F50">
      <w:start w:val="1"/>
      <w:numFmt w:val="decimal"/>
      <w:lvlText w:val="%1."/>
      <w:lvlJc w:val="left"/>
      <w:pPr>
        <w:ind w:left="1204" w:hanging="49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2E0240"/>
    <w:multiLevelType w:val="hybridMultilevel"/>
    <w:tmpl w:val="5D66A9A8"/>
    <w:lvl w:ilvl="0" w:tplc="B2387F18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0B5"/>
    <w:rsid w:val="001C6DF2"/>
    <w:rsid w:val="00467094"/>
    <w:rsid w:val="006B34C4"/>
    <w:rsid w:val="00BB7A23"/>
    <w:rsid w:val="00D1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6E0E9"/>
  <w15:chartTrackingRefBased/>
  <w15:docId w15:val="{C05EFEE7-08E5-4D22-8EC3-6C98B249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094"/>
    <w:pPr>
      <w:ind w:right="142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Bullets,List Paragraph (numbered (a)),NUMBERED PARAGRAPH,List Paragraph 1,List_Paragraph,Multilevel para_II,Akapit z listą BS,IBL List Paragraph,List Paragraph nowy,Numbered List Paragraph,Bullet1,Numbered list,NumberedPara,lp"/>
    <w:basedOn w:val="a"/>
    <w:link w:val="a4"/>
    <w:uiPriority w:val="34"/>
    <w:qFormat/>
    <w:rsid w:val="00467094"/>
    <w:pPr>
      <w:ind w:left="720"/>
      <w:contextualSpacing/>
    </w:pPr>
  </w:style>
  <w:style w:type="character" w:customStyle="1" w:styleId="a4">
    <w:name w:val="Абзац списка Знак"/>
    <w:aliases w:val="маркированный Знак,Bullets Знак,List Paragraph (numbered (a)) Знак,NUMBERED PARAGRAPH Знак,List Paragraph 1 Знак,List_Paragraph Знак,Multilevel para_II Знак,Akapit z listą BS Знак,IBL List Paragraph Знак,List Paragraph nowy Знак"/>
    <w:link w:val="a3"/>
    <w:uiPriority w:val="34"/>
    <w:qFormat/>
    <w:rsid w:val="0046709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566400608645598"/>
          <c:y val="4.0117390949971743E-2"/>
          <c:w val="0.82644241936624108"/>
          <c:h val="0.7382675846975804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'Рис. 2.3 и Табл. 2.9'!$D$17</c:f>
              <c:strCache>
                <c:ptCount val="1"/>
                <c:pt idx="0">
                  <c:v>Качество подготовки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40000"/>
                    <a:lumOff val="60000"/>
                  </a:schemeClr>
                </a:gs>
                <a:gs pos="46000">
                  <a:schemeClr val="accent5">
                    <a:lumMod val="95000"/>
                    <a:lumOff val="5000"/>
                  </a:schemeClr>
                </a:gs>
                <a:gs pos="100000">
                  <a:schemeClr val="accent5">
                    <a:lumMod val="60000"/>
                  </a:schemeClr>
                </a:gs>
              </a:gsLst>
              <a:path path="circle">
                <a:fillToRect l="50000" t="130000" r="50000" b="-30000"/>
              </a:path>
              <a:tileRect/>
            </a:gradFill>
          </c:spPr>
          <c:invertIfNegative val="0"/>
          <c:dLbls>
            <c:dLbl>
              <c:idx val="7"/>
              <c:layout>
                <c:manualLayout>
                  <c:x val="1.9020446980503973E-2"/>
                  <c:y val="3.4275911914684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CA-402A-ABDA-9C769BCAC2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'Рис. 2.3 и Табл. 2.9'!$C$18:$C$25</c:f>
              <c:strCache>
                <c:ptCount val="8"/>
                <c:pt idx="0">
                  <c:v>НМУ</c:v>
                </c:pt>
                <c:pt idx="1">
                  <c:v>МУА</c:v>
                </c:pt>
                <c:pt idx="2">
                  <c:v>МУК</c:v>
                </c:pt>
                <c:pt idx="3">
                  <c:v>ЗКМУ</c:v>
                </c:pt>
                <c:pt idx="4">
                  <c:v>МУС</c:v>
                </c:pt>
                <c:pt idx="5">
                  <c:v>ЮКМА</c:v>
                </c:pt>
                <c:pt idx="6">
                  <c:v>КРМУ</c:v>
                </c:pt>
                <c:pt idx="7">
                  <c:v>ВШОЗ</c:v>
                </c:pt>
              </c:strCache>
            </c:strRef>
          </c:cat>
          <c:val>
            <c:numRef>
              <c:f>'Рис. 2.3 и Табл. 2.9'!$D$18:$D$25</c:f>
              <c:numCache>
                <c:formatCode>0.00</c:formatCode>
                <c:ptCount val="8"/>
                <c:pt idx="0">
                  <c:v>197.54</c:v>
                </c:pt>
                <c:pt idx="1">
                  <c:v>198.77</c:v>
                </c:pt>
                <c:pt idx="2">
                  <c:v>200.27</c:v>
                </c:pt>
                <c:pt idx="3">
                  <c:v>196.85</c:v>
                </c:pt>
                <c:pt idx="4">
                  <c:v>199.4</c:v>
                </c:pt>
                <c:pt idx="5">
                  <c:v>195</c:v>
                </c:pt>
                <c:pt idx="6">
                  <c:v>193.05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CA-402A-ABDA-9C769BCAC282}"/>
            </c:ext>
          </c:extLst>
        </c:ser>
        <c:ser>
          <c:idx val="1"/>
          <c:order val="1"/>
          <c:tx>
            <c:strRef>
              <c:f>'Рис. 2.3 и Табл. 2.9'!$E$17</c:f>
              <c:strCache>
                <c:ptCount val="1"/>
                <c:pt idx="0">
                  <c:v>Востребованность выпускников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5000"/>
                    <a:lumOff val="95000"/>
                  </a:schemeClr>
                </a:gs>
                <a:gs pos="74000">
                  <a:schemeClr val="accent5">
                    <a:lumMod val="45000"/>
                    <a:lumOff val="55000"/>
                  </a:schemeClr>
                </a:gs>
                <a:gs pos="83000">
                  <a:schemeClr val="accent5">
                    <a:lumMod val="45000"/>
                    <a:lumOff val="55000"/>
                  </a:schemeClr>
                </a:gs>
                <a:gs pos="100000">
                  <a:schemeClr val="accent5">
                    <a:lumMod val="30000"/>
                    <a:lumOff val="70000"/>
                  </a:schemeClr>
                </a:gs>
              </a:gsLst>
              <a:lin ang="540000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'Рис. 2.3 и Табл. 2.9'!$C$18:$C$25</c:f>
              <c:strCache>
                <c:ptCount val="8"/>
                <c:pt idx="0">
                  <c:v>НМУ</c:v>
                </c:pt>
                <c:pt idx="1">
                  <c:v>МУА</c:v>
                </c:pt>
                <c:pt idx="2">
                  <c:v>МУК</c:v>
                </c:pt>
                <c:pt idx="3">
                  <c:v>ЗКМУ</c:v>
                </c:pt>
                <c:pt idx="4">
                  <c:v>МУС</c:v>
                </c:pt>
                <c:pt idx="5">
                  <c:v>ЮКМА</c:v>
                </c:pt>
                <c:pt idx="6">
                  <c:v>КРМУ</c:v>
                </c:pt>
                <c:pt idx="7">
                  <c:v>ВШОЗ</c:v>
                </c:pt>
              </c:strCache>
            </c:strRef>
          </c:cat>
          <c:val>
            <c:numRef>
              <c:f>'Рис. 2.3 и Табл. 2.9'!$E$18:$E$25</c:f>
              <c:numCache>
                <c:formatCode>0.00</c:formatCode>
                <c:ptCount val="8"/>
                <c:pt idx="0">
                  <c:v>411.43</c:v>
                </c:pt>
                <c:pt idx="1">
                  <c:v>428.2</c:v>
                </c:pt>
                <c:pt idx="2">
                  <c:v>442.41</c:v>
                </c:pt>
                <c:pt idx="3">
                  <c:v>438.4</c:v>
                </c:pt>
                <c:pt idx="4">
                  <c:v>424.86</c:v>
                </c:pt>
                <c:pt idx="5">
                  <c:v>325.39999999999998</c:v>
                </c:pt>
                <c:pt idx="6">
                  <c:v>257.27</c:v>
                </c:pt>
                <c:pt idx="7">
                  <c:v>227.9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CA-402A-ABDA-9C769BCAC282}"/>
            </c:ext>
          </c:extLst>
        </c:ser>
        <c:ser>
          <c:idx val="2"/>
          <c:order val="2"/>
          <c:tx>
            <c:strRef>
              <c:f>'Рис. 2.3 и Табл. 2.9'!$F$17</c:f>
              <c:strCache>
                <c:ptCount val="1"/>
                <c:pt idx="0">
                  <c:v>Интернационализация медобразования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40000"/>
                    <a:lumOff val="60000"/>
                  </a:schemeClr>
                </a:gs>
                <a:gs pos="46000">
                  <a:schemeClr val="accent1">
                    <a:lumMod val="95000"/>
                    <a:lumOff val="5000"/>
                  </a:schemeClr>
                </a:gs>
                <a:gs pos="100000">
                  <a:schemeClr val="accent1">
                    <a:lumMod val="60000"/>
                  </a:schemeClr>
                </a:gs>
              </a:gsLst>
              <a:path path="circle">
                <a:fillToRect l="50000" t="130000" r="50000" b="-30000"/>
              </a:path>
              <a:tileRect/>
            </a:gradFill>
          </c:spPr>
          <c:invertIfNegative val="0"/>
          <c:dLbls>
            <c:dLbl>
              <c:idx val="2"/>
              <c:layout>
                <c:manualLayout>
                  <c:x val="-2.5651988029072408E-2"/>
                  <c:y val="-7.67397302115897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CA-402A-ABDA-9C769BCAC282}"/>
                </c:ext>
              </c:extLst>
            </c:dLbl>
            <c:dLbl>
              <c:idx val="6"/>
              <c:layout>
                <c:manualLayout>
                  <c:x val="-3.0432715168806607E-2"/>
                  <c:y val="-3.14192229642496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6CA-402A-ABDA-9C769BCAC2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'Рис. 2.3 и Табл. 2.9'!$C$18:$C$25</c:f>
              <c:strCache>
                <c:ptCount val="8"/>
                <c:pt idx="0">
                  <c:v>НМУ</c:v>
                </c:pt>
                <c:pt idx="1">
                  <c:v>МУА</c:v>
                </c:pt>
                <c:pt idx="2">
                  <c:v>МУК</c:v>
                </c:pt>
                <c:pt idx="3">
                  <c:v>ЗКМУ</c:v>
                </c:pt>
                <c:pt idx="4">
                  <c:v>МУС</c:v>
                </c:pt>
                <c:pt idx="5">
                  <c:v>ЮКМА</c:v>
                </c:pt>
                <c:pt idx="6">
                  <c:v>КРМУ</c:v>
                </c:pt>
                <c:pt idx="7">
                  <c:v>ВШОЗ</c:v>
                </c:pt>
              </c:strCache>
            </c:strRef>
          </c:cat>
          <c:val>
            <c:numRef>
              <c:f>'Рис. 2.3 и Табл. 2.9'!$F$18:$F$25</c:f>
              <c:numCache>
                <c:formatCode>0.00</c:formatCode>
                <c:ptCount val="8"/>
                <c:pt idx="0">
                  <c:v>92</c:v>
                </c:pt>
                <c:pt idx="1">
                  <c:v>40.17</c:v>
                </c:pt>
                <c:pt idx="2">
                  <c:v>50.56</c:v>
                </c:pt>
                <c:pt idx="3">
                  <c:v>118.12</c:v>
                </c:pt>
                <c:pt idx="4">
                  <c:v>57.33</c:v>
                </c:pt>
                <c:pt idx="5">
                  <c:v>47.91</c:v>
                </c:pt>
                <c:pt idx="6">
                  <c:v>16.73</c:v>
                </c:pt>
                <c:pt idx="7">
                  <c:v>16.87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6CA-402A-ABDA-9C769BCAC282}"/>
            </c:ext>
          </c:extLst>
        </c:ser>
        <c:ser>
          <c:idx val="3"/>
          <c:order val="3"/>
          <c:tx>
            <c:strRef>
              <c:f>'Рис. 2.3 и Табл. 2.9'!$G$17</c:f>
              <c:strCache>
                <c:ptCount val="1"/>
                <c:pt idx="0">
                  <c:v>Уровень ППС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5000"/>
                    <a:lumOff val="95000"/>
                  </a:schemeClr>
                </a:gs>
                <a:gs pos="74000">
                  <a:schemeClr val="accent5">
                    <a:lumMod val="45000"/>
                    <a:lumOff val="55000"/>
                  </a:schemeClr>
                </a:gs>
                <a:gs pos="83000">
                  <a:schemeClr val="accent5">
                    <a:lumMod val="45000"/>
                    <a:lumOff val="55000"/>
                  </a:schemeClr>
                </a:gs>
                <a:gs pos="100000">
                  <a:schemeClr val="accent5">
                    <a:lumMod val="30000"/>
                    <a:lumOff val="70000"/>
                  </a:schemeClr>
                </a:gs>
              </a:gsLst>
              <a:lin ang="540000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'Рис. 2.3 и Табл. 2.9'!$C$18:$C$25</c:f>
              <c:strCache>
                <c:ptCount val="8"/>
                <c:pt idx="0">
                  <c:v>НМУ</c:v>
                </c:pt>
                <c:pt idx="1">
                  <c:v>МУА</c:v>
                </c:pt>
                <c:pt idx="2">
                  <c:v>МУК</c:v>
                </c:pt>
                <c:pt idx="3">
                  <c:v>ЗКМУ</c:v>
                </c:pt>
                <c:pt idx="4">
                  <c:v>МУС</c:v>
                </c:pt>
                <c:pt idx="5">
                  <c:v>ЮКМА</c:v>
                </c:pt>
                <c:pt idx="6">
                  <c:v>КРМУ</c:v>
                </c:pt>
                <c:pt idx="7">
                  <c:v>ВШОЗ</c:v>
                </c:pt>
              </c:strCache>
            </c:strRef>
          </c:cat>
          <c:val>
            <c:numRef>
              <c:f>'Рис. 2.3 и Табл. 2.9'!$G$18:$G$25</c:f>
              <c:numCache>
                <c:formatCode>0.00</c:formatCode>
                <c:ptCount val="8"/>
                <c:pt idx="0">
                  <c:v>47.18</c:v>
                </c:pt>
                <c:pt idx="1">
                  <c:v>33.549999999999997</c:v>
                </c:pt>
                <c:pt idx="2">
                  <c:v>9.86</c:v>
                </c:pt>
                <c:pt idx="3">
                  <c:v>19</c:v>
                </c:pt>
                <c:pt idx="4">
                  <c:v>33.39</c:v>
                </c:pt>
                <c:pt idx="5">
                  <c:v>31.73</c:v>
                </c:pt>
                <c:pt idx="6">
                  <c:v>6.44</c:v>
                </c:pt>
                <c:pt idx="7">
                  <c:v>21.85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6CA-402A-ABDA-9C769BCAC2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376320"/>
        <c:axId val="78201984"/>
      </c:barChart>
      <c:catAx>
        <c:axId val="783763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8201984"/>
        <c:crosses val="autoZero"/>
        <c:auto val="1"/>
        <c:lblAlgn val="ctr"/>
        <c:lblOffset val="100"/>
        <c:noMultiLvlLbl val="0"/>
      </c:catAx>
      <c:valAx>
        <c:axId val="782019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78376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9590982080638807E-2"/>
          <c:y val="0.87315517644848606"/>
          <c:w val="0.90688984793959326"/>
          <c:h val="9.9362234387926268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latin typeface="Times New Roman" pitchFamily="18" charset="0"/>
                <a:cs typeface="Times New Roman" pitchFamily="18" charset="0"/>
              </a:rPr>
              <a:t>Ранжирование по индикатору "качество подготовки" (ВУЗы) 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358543145069842"/>
          <c:y val="3.20855614973262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707980946826092"/>
          <c:y val="0.11900643334409695"/>
          <c:w val="0.8433275007290757"/>
          <c:h val="0.7334618346208301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'Рис. 2.4 и Табл. 2.10'!$B$23</c:f>
              <c:strCache>
                <c:ptCount val="1"/>
                <c:pt idx="0">
                  <c:v>Суммарное значение (бальное) индикатора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0"/>
                    <a:lumOff val="100000"/>
                  </a:schemeClr>
                </a:gs>
                <a:gs pos="35000">
                  <a:schemeClr val="accent5">
                    <a:lumMod val="0"/>
                    <a:lumOff val="100000"/>
                  </a:schemeClr>
                </a:gs>
                <a:gs pos="100000">
                  <a:schemeClr val="accent5">
                    <a:lumMod val="100000"/>
                  </a:scheme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'Рис. 2.4 и Табл. 2.10'!$A$24:$A$31</c:f>
              <c:strCache>
                <c:ptCount val="8"/>
                <c:pt idx="0">
                  <c:v>ВШОЗ</c:v>
                </c:pt>
                <c:pt idx="1">
                  <c:v>ЗКМУ</c:v>
                </c:pt>
                <c:pt idx="2">
                  <c:v>ЮКМА</c:v>
                </c:pt>
                <c:pt idx="3">
                  <c:v>КРМУ</c:v>
                </c:pt>
                <c:pt idx="4">
                  <c:v>МУС</c:v>
                </c:pt>
                <c:pt idx="5">
                  <c:v>НМУ</c:v>
                </c:pt>
                <c:pt idx="6">
                  <c:v>МУК</c:v>
                </c:pt>
                <c:pt idx="7">
                  <c:v>МУА</c:v>
                </c:pt>
              </c:strCache>
            </c:strRef>
          </c:cat>
          <c:val>
            <c:numRef>
              <c:f>'Рис. 2.4 и Табл. 2.10'!$B$24:$B$31</c:f>
              <c:numCache>
                <c:formatCode>0.00</c:formatCode>
                <c:ptCount val="8"/>
                <c:pt idx="0">
                  <c:v>71.09</c:v>
                </c:pt>
                <c:pt idx="1">
                  <c:v>101.96</c:v>
                </c:pt>
                <c:pt idx="2">
                  <c:v>102.79</c:v>
                </c:pt>
                <c:pt idx="3">
                  <c:v>104.8</c:v>
                </c:pt>
                <c:pt idx="4">
                  <c:v>105.09</c:v>
                </c:pt>
                <c:pt idx="5">
                  <c:v>120.53</c:v>
                </c:pt>
                <c:pt idx="6">
                  <c:v>125.34</c:v>
                </c:pt>
                <c:pt idx="7">
                  <c:v>152.30000000000001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24-4482-A5A3-15FA0BEB2C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872384"/>
        <c:axId val="79873920"/>
        <c:axId val="0"/>
      </c:bar3DChart>
      <c:catAx>
        <c:axId val="798723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873920"/>
        <c:crosses val="autoZero"/>
        <c:auto val="1"/>
        <c:lblAlgn val="ctr"/>
        <c:lblOffset val="100"/>
        <c:noMultiLvlLbl val="0"/>
      </c:catAx>
      <c:valAx>
        <c:axId val="79873920"/>
        <c:scaling>
          <c:orientation val="minMax"/>
        </c:scaling>
        <c:delete val="0"/>
        <c:axPos val="b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872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305952496678656E-2"/>
          <c:y val="0.91648206764852069"/>
          <c:w val="0.95027380836654674"/>
          <c:h val="7.2211787480053372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Качество!$E$19</c:f>
              <c:strCache>
                <c:ptCount val="1"/>
                <c:pt idx="0">
                  <c:v>Ранжирование по показателю "Качество подготовки"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0"/>
                    <a:lumOff val="100000"/>
                  </a:schemeClr>
                </a:gs>
                <a:gs pos="35000">
                  <a:schemeClr val="accent5">
                    <a:lumMod val="0"/>
                    <a:lumOff val="100000"/>
                  </a:schemeClr>
                </a:gs>
                <a:gs pos="100000">
                  <a:schemeClr val="accent5">
                    <a:lumMod val="100000"/>
                  </a:scheme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Качество!$D$20:$D$27</c:f>
              <c:strCache>
                <c:ptCount val="8"/>
                <c:pt idx="0">
                  <c:v>ЗКМУ</c:v>
                </c:pt>
                <c:pt idx="1">
                  <c:v>ЮКМА</c:v>
                </c:pt>
                <c:pt idx="2">
                  <c:v>КРМУ</c:v>
                </c:pt>
                <c:pt idx="3">
                  <c:v>НМУ</c:v>
                </c:pt>
                <c:pt idx="4">
                  <c:v>МУС</c:v>
                </c:pt>
                <c:pt idx="5">
                  <c:v>МУК</c:v>
                </c:pt>
                <c:pt idx="6">
                  <c:v>МУА</c:v>
                </c:pt>
                <c:pt idx="7">
                  <c:v>ВШОЗ</c:v>
                </c:pt>
              </c:strCache>
            </c:strRef>
          </c:cat>
          <c:val>
            <c:numRef>
              <c:f>Качество!$E$20:$E$27</c:f>
              <c:numCache>
                <c:formatCode>0.00</c:formatCode>
                <c:ptCount val="8"/>
                <c:pt idx="0">
                  <c:v>0.05</c:v>
                </c:pt>
                <c:pt idx="1">
                  <c:v>0.1</c:v>
                </c:pt>
                <c:pt idx="2">
                  <c:v>0.15</c:v>
                </c:pt>
                <c:pt idx="3">
                  <c:v>0.44</c:v>
                </c:pt>
                <c:pt idx="4">
                  <c:v>0.5</c:v>
                </c:pt>
                <c:pt idx="5">
                  <c:v>0.67</c:v>
                </c:pt>
                <c:pt idx="6">
                  <c:v>1.07</c:v>
                </c:pt>
                <c:pt idx="7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6B-4BC3-859D-7DC61EC3EB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061696"/>
        <c:axId val="76067584"/>
        <c:axId val="0"/>
      </c:bar3DChart>
      <c:catAx>
        <c:axId val="760616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067584"/>
        <c:crosses val="autoZero"/>
        <c:auto val="1"/>
        <c:lblAlgn val="ctr"/>
        <c:lblOffset val="100"/>
        <c:noMultiLvlLbl val="0"/>
      </c:catAx>
      <c:valAx>
        <c:axId val="76067584"/>
        <c:scaling>
          <c:orientation val="minMax"/>
        </c:scaling>
        <c:delete val="0"/>
        <c:axPos val="b"/>
        <c:majorGridlines/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60616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120379374888891E-2"/>
          <c:y val="8.993399339933994E-2"/>
          <c:w val="0.84671689445193854"/>
          <c:h val="0.80671760089394762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'Рис. 2.3 и Табл. 2.9'!$M$52</c:f>
              <c:strCache>
                <c:ptCount val="1"/>
                <c:pt idx="0">
                  <c:v>Востребованность выпускников</c:v>
                </c:pt>
              </c:strCache>
            </c:strRef>
          </c:tx>
          <c:spPr>
            <a:gradFill flip="none" rotWithShape="1">
              <a:gsLst>
                <a:gs pos="0">
                  <a:srgbClr val="4472C4">
                    <a:lumMod val="0"/>
                    <a:lumOff val="100000"/>
                  </a:srgbClr>
                </a:gs>
                <a:gs pos="35000">
                  <a:srgbClr val="4472C4">
                    <a:lumMod val="0"/>
                    <a:lumOff val="100000"/>
                  </a:srgbClr>
                </a:gs>
                <a:gs pos="100000">
                  <a:srgbClr val="4472C4">
                    <a:lumMod val="100000"/>
                  </a:srgb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'Рис. 2.3 и Табл. 2.9'!$L$50:$L$60</c:f>
              <c:strCache>
                <c:ptCount val="8"/>
                <c:pt idx="0">
                  <c:v>ВШОЗ</c:v>
                </c:pt>
                <c:pt idx="1">
                  <c:v>КРМУ</c:v>
                </c:pt>
                <c:pt idx="2">
                  <c:v>ЮКМА</c:v>
                </c:pt>
                <c:pt idx="3">
                  <c:v>НМУ</c:v>
                </c:pt>
                <c:pt idx="4">
                  <c:v>МУА</c:v>
                </c:pt>
                <c:pt idx="5">
                  <c:v>МУС</c:v>
                </c:pt>
                <c:pt idx="6">
                  <c:v>ЗКМУ</c:v>
                </c:pt>
                <c:pt idx="7">
                  <c:v>МУК</c:v>
                </c:pt>
              </c:strCache>
              <c:extLst/>
            </c:strRef>
          </c:cat>
          <c:val>
            <c:numRef>
              <c:f>'Рис. 2.3 и Табл. 2.9'!$M$50:$M$60</c:f>
              <c:numCache>
                <c:formatCode>0.00</c:formatCode>
                <c:ptCount val="8"/>
                <c:pt idx="0">
                  <c:v>133.72999999999999</c:v>
                </c:pt>
                <c:pt idx="1">
                  <c:v>150.28</c:v>
                </c:pt>
                <c:pt idx="2">
                  <c:v>182.96</c:v>
                </c:pt>
                <c:pt idx="3">
                  <c:v>225.79</c:v>
                </c:pt>
                <c:pt idx="4">
                  <c:v>234.53</c:v>
                </c:pt>
                <c:pt idx="5">
                  <c:v>235.12</c:v>
                </c:pt>
                <c:pt idx="6">
                  <c:v>241.2</c:v>
                </c:pt>
                <c:pt idx="7">
                  <c:v>243.65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E0B3-4300-A0C1-EC51ADEC6B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218368"/>
        <c:axId val="78219904"/>
        <c:axId val="0"/>
      </c:bar3DChart>
      <c:catAx>
        <c:axId val="782183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8219904"/>
        <c:crosses val="autoZero"/>
        <c:auto val="1"/>
        <c:lblAlgn val="ctr"/>
        <c:lblOffset val="100"/>
        <c:noMultiLvlLbl val="0"/>
      </c:catAx>
      <c:valAx>
        <c:axId val="78219904"/>
        <c:scaling>
          <c:orientation val="minMax"/>
        </c:scaling>
        <c:delete val="0"/>
        <c:axPos val="b"/>
        <c:majorGridlines/>
        <c:numFmt formatCode="0.00" sourceLinked="1"/>
        <c:majorTickMark val="out"/>
        <c:minorTickMark val="none"/>
        <c:tickLblPos val="nextTo"/>
        <c:crossAx val="78218368"/>
        <c:crosses val="autoZero"/>
        <c:crossBetween val="between"/>
      </c:valAx>
    </c:plotArea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44561021943868"/>
          <c:y val="0.14560327198364009"/>
          <c:w val="0.84443734015345273"/>
          <c:h val="0.7519359773279873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'Рис. 2.4 и Табл. 2.10'!$C$53</c:f>
              <c:strCache>
                <c:ptCount val="1"/>
                <c:pt idx="0">
                  <c:v>Рейтинг ВУЗов по показателю "Интернационализация медицинского образования"</c:v>
                </c:pt>
              </c:strCache>
            </c:strRef>
          </c:tx>
          <c:spPr>
            <a:gradFill flip="none" rotWithShape="1">
              <a:gsLst>
                <a:gs pos="0">
                  <a:srgbClr val="4472C4">
                    <a:lumMod val="0"/>
                    <a:lumOff val="100000"/>
                  </a:srgbClr>
                </a:gs>
                <a:gs pos="35000">
                  <a:srgbClr val="4472C4">
                    <a:lumMod val="0"/>
                    <a:lumOff val="100000"/>
                  </a:srgbClr>
                </a:gs>
                <a:gs pos="100000">
                  <a:srgbClr val="4472C4">
                    <a:lumMod val="100000"/>
                  </a:srgb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'Рис. 2.4 и Табл. 2.10'!$B$54:$B$61</c:f>
              <c:strCache>
                <c:ptCount val="8"/>
                <c:pt idx="0">
                  <c:v>КРМУ</c:v>
                </c:pt>
                <c:pt idx="1">
                  <c:v>ЮКМА</c:v>
                </c:pt>
                <c:pt idx="2">
                  <c:v>ЗКМУ</c:v>
                </c:pt>
                <c:pt idx="3">
                  <c:v>ВШОЗ</c:v>
                </c:pt>
                <c:pt idx="4">
                  <c:v>МУК</c:v>
                </c:pt>
                <c:pt idx="5">
                  <c:v>НМУ</c:v>
                </c:pt>
                <c:pt idx="6">
                  <c:v>МУА</c:v>
                </c:pt>
                <c:pt idx="7">
                  <c:v>МУС</c:v>
                </c:pt>
              </c:strCache>
            </c:strRef>
          </c:cat>
          <c:val>
            <c:numRef>
              <c:f>'Рис. 2.4 и Табл. 2.10'!$C$54:$C$61</c:f>
              <c:numCache>
                <c:formatCode>0.00</c:formatCode>
                <c:ptCount val="8"/>
                <c:pt idx="0">
                  <c:v>33.32</c:v>
                </c:pt>
                <c:pt idx="1">
                  <c:v>75.739999999999995</c:v>
                </c:pt>
                <c:pt idx="2">
                  <c:v>155.79</c:v>
                </c:pt>
                <c:pt idx="3">
                  <c:v>156.4</c:v>
                </c:pt>
                <c:pt idx="4">
                  <c:v>156.87</c:v>
                </c:pt>
                <c:pt idx="5">
                  <c:v>184.64</c:v>
                </c:pt>
                <c:pt idx="6">
                  <c:v>251.21</c:v>
                </c:pt>
                <c:pt idx="7">
                  <c:v>296.62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33-4410-BE87-E39AE6EDD2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778944"/>
        <c:axId val="79780480"/>
        <c:axId val="0"/>
      </c:bar3DChart>
      <c:catAx>
        <c:axId val="797789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9780480"/>
        <c:crosses val="autoZero"/>
        <c:auto val="1"/>
        <c:lblAlgn val="ctr"/>
        <c:lblOffset val="100"/>
        <c:noMultiLvlLbl val="0"/>
      </c:catAx>
      <c:valAx>
        <c:axId val="79780480"/>
        <c:scaling>
          <c:orientation val="minMax"/>
        </c:scaling>
        <c:delete val="0"/>
        <c:axPos val="b"/>
        <c:majorGridlines/>
        <c:numFmt formatCode="0.00" sourceLinked="1"/>
        <c:majorTickMark val="out"/>
        <c:minorTickMark val="none"/>
        <c:tickLblPos val="nextTo"/>
        <c:crossAx val="79778944"/>
        <c:crosses val="autoZero"/>
        <c:crossBetween val="between"/>
      </c:valAx>
    </c:plotArea>
    <c:plotVisOnly val="1"/>
    <c:dispBlanksAs val="gap"/>
    <c:showDLblsOverMax val="0"/>
  </c:chart>
  <c:spPr>
    <a:ln w="9525">
      <a:solidFill>
        <a:sysClr val="windowText" lastClr="000000"/>
      </a:soli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'Рис.2.5, 2.6 и Табл. 2.11 2.12'!$C$119</c:f>
              <c:strCache>
                <c:ptCount val="1"/>
                <c:pt idx="0">
                  <c:v>Уровень профессорско-преподавательского состава</c:v>
                </c:pt>
              </c:strCache>
            </c:strRef>
          </c:tx>
          <c:spPr>
            <a:gradFill flip="none" rotWithShape="1">
              <a:gsLst>
                <a:gs pos="0">
                  <a:srgbClr val="4472C4">
                    <a:lumMod val="0"/>
                    <a:lumOff val="100000"/>
                  </a:srgbClr>
                </a:gs>
                <a:gs pos="35000">
                  <a:srgbClr val="4472C4">
                    <a:lumMod val="0"/>
                    <a:lumOff val="100000"/>
                  </a:srgbClr>
                </a:gs>
                <a:gs pos="100000">
                  <a:srgbClr val="4472C4">
                    <a:lumMod val="100000"/>
                  </a:srgb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'Рис.2.5, 2.6 и Табл. 2.11 2.12'!$B$120:$B$127</c:f>
              <c:strCache>
                <c:ptCount val="8"/>
                <c:pt idx="0">
                  <c:v>КРМУ</c:v>
                </c:pt>
                <c:pt idx="1">
                  <c:v>МУК</c:v>
                </c:pt>
                <c:pt idx="2">
                  <c:v>ВШОЗ</c:v>
                </c:pt>
                <c:pt idx="3">
                  <c:v>ЮКМА</c:v>
                </c:pt>
                <c:pt idx="4">
                  <c:v>ЗКМУ</c:v>
                </c:pt>
                <c:pt idx="5">
                  <c:v>МУА</c:v>
                </c:pt>
                <c:pt idx="6">
                  <c:v>МУС</c:v>
                </c:pt>
                <c:pt idx="7">
                  <c:v>НМУ</c:v>
                </c:pt>
              </c:strCache>
            </c:strRef>
          </c:cat>
          <c:val>
            <c:numRef>
              <c:f>'Рис.2.5, 2.6 и Табл. 2.11 2.12'!$C$120:$C$127</c:f>
              <c:numCache>
                <c:formatCode>0.00</c:formatCode>
                <c:ptCount val="8"/>
                <c:pt idx="0">
                  <c:v>62.37</c:v>
                </c:pt>
                <c:pt idx="1">
                  <c:v>110.22</c:v>
                </c:pt>
                <c:pt idx="2">
                  <c:v>187.5</c:v>
                </c:pt>
                <c:pt idx="3">
                  <c:v>304.35000000000002</c:v>
                </c:pt>
                <c:pt idx="4">
                  <c:v>306.77</c:v>
                </c:pt>
                <c:pt idx="5">
                  <c:v>494.92</c:v>
                </c:pt>
                <c:pt idx="6">
                  <c:v>563.23</c:v>
                </c:pt>
                <c:pt idx="7">
                  <c:v>597.51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B6-4238-A75D-3194381B4B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306560"/>
        <c:axId val="80308096"/>
        <c:axId val="0"/>
      </c:bar3DChart>
      <c:catAx>
        <c:axId val="803065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80308096"/>
        <c:crosses val="autoZero"/>
        <c:auto val="1"/>
        <c:lblAlgn val="ctr"/>
        <c:lblOffset val="100"/>
        <c:noMultiLvlLbl val="0"/>
      </c:catAx>
      <c:valAx>
        <c:axId val="80308096"/>
        <c:scaling>
          <c:orientation val="minMax"/>
        </c:scaling>
        <c:delete val="0"/>
        <c:axPos val="b"/>
        <c:majorGridlines/>
        <c:numFmt formatCode="0.00" sourceLinked="1"/>
        <c:majorTickMark val="out"/>
        <c:minorTickMark val="none"/>
        <c:tickLblPos val="nextTo"/>
        <c:crossAx val="803065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Рейтинг Владение иностранным языком</a:t>
            </a:r>
          </a:p>
        </c:rich>
      </c:tx>
      <c:layout>
        <c:manualLayout>
          <c:xMode val="edge"/>
          <c:yMode val="edge"/>
          <c:x val="0.28809011373578303"/>
          <c:y val="2.7807478825079279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245997759052045E-2"/>
          <c:y val="0.13982724174403574"/>
          <c:w val="0.79815048118985121"/>
          <c:h val="0.7589941867042299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'Рис. 2.7 и Табл. 2.15'!$V$20</c:f>
              <c:strCache>
                <c:ptCount val="1"/>
                <c:pt idx="0">
                  <c:v>Рейтиинг владение иностранным языком</c:v>
                </c:pt>
              </c:strCache>
            </c:strRef>
          </c:tx>
          <c:spPr>
            <a:gradFill flip="none" rotWithShape="1">
              <a:gsLst>
                <a:gs pos="0">
                  <a:srgbClr val="4472C4">
                    <a:lumMod val="0"/>
                    <a:lumOff val="100000"/>
                  </a:srgbClr>
                </a:gs>
                <a:gs pos="35000">
                  <a:srgbClr val="4472C4">
                    <a:lumMod val="0"/>
                    <a:lumOff val="100000"/>
                  </a:srgbClr>
                </a:gs>
                <a:gs pos="100000">
                  <a:srgbClr val="4472C4">
                    <a:lumMod val="100000"/>
                  </a:srgb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'Рис. 2.7 и Табл. 2.15'!$U$21:$U$28</c:f>
              <c:strCache>
                <c:ptCount val="8"/>
                <c:pt idx="0">
                  <c:v>КРМУ</c:v>
                </c:pt>
                <c:pt idx="1">
                  <c:v>ЗКМУ</c:v>
                </c:pt>
                <c:pt idx="2">
                  <c:v>НМУ</c:v>
                </c:pt>
                <c:pt idx="3">
                  <c:v>МУА</c:v>
                </c:pt>
                <c:pt idx="4">
                  <c:v>ВШОЗ</c:v>
                </c:pt>
                <c:pt idx="5">
                  <c:v>МУК</c:v>
                </c:pt>
                <c:pt idx="6">
                  <c:v>МУС</c:v>
                </c:pt>
                <c:pt idx="7">
                  <c:v>ЮКМА</c:v>
                </c:pt>
              </c:strCache>
            </c:strRef>
          </c:cat>
          <c:val>
            <c:numRef>
              <c:f>'Рис. 2.7 и Табл. 2.15'!$V$21:$V$28</c:f>
              <c:numCache>
                <c:formatCode>0.00</c:formatCode>
                <c:ptCount val="8"/>
                <c:pt idx="0">
                  <c:v>0.41</c:v>
                </c:pt>
                <c:pt idx="1">
                  <c:v>2.8</c:v>
                </c:pt>
                <c:pt idx="2">
                  <c:v>6.1</c:v>
                </c:pt>
                <c:pt idx="3">
                  <c:v>6.1</c:v>
                </c:pt>
                <c:pt idx="4">
                  <c:v>6.25</c:v>
                </c:pt>
                <c:pt idx="5">
                  <c:v>6.7</c:v>
                </c:pt>
                <c:pt idx="6">
                  <c:v>10</c:v>
                </c:pt>
                <c:pt idx="7">
                  <c:v>13.04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90-486D-8BB4-0DDDADB8BE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057664"/>
        <c:axId val="81059200"/>
        <c:axId val="0"/>
      </c:bar3DChart>
      <c:catAx>
        <c:axId val="810576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81059200"/>
        <c:crosses val="autoZero"/>
        <c:auto val="1"/>
        <c:lblAlgn val="ctr"/>
        <c:lblOffset val="100"/>
        <c:noMultiLvlLbl val="0"/>
      </c:catAx>
      <c:valAx>
        <c:axId val="81059200"/>
        <c:scaling>
          <c:orientation val="minMax"/>
        </c:scaling>
        <c:delete val="0"/>
        <c:axPos val="b"/>
        <c:majorGridlines/>
        <c:numFmt formatCode="0.00" sourceLinked="1"/>
        <c:majorTickMark val="out"/>
        <c:minorTickMark val="none"/>
        <c:tickLblPos val="nextTo"/>
        <c:crossAx val="810576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'Рис. 2.2'!$D$2</c:f>
              <c:strCache>
                <c:ptCount val="1"/>
                <c:pt idx="0">
                  <c:v>Рейтинг медицинских ВУЗов по результатам образовательной деятельности </c:v>
                </c:pt>
              </c:strCache>
            </c:strRef>
          </c:tx>
          <c:spPr>
            <a:gradFill flip="none" rotWithShape="1">
              <a:gsLst>
                <a:gs pos="0">
                  <a:srgbClr val="4472C4">
                    <a:lumMod val="0"/>
                    <a:lumOff val="100000"/>
                  </a:srgbClr>
                </a:gs>
                <a:gs pos="35000">
                  <a:srgbClr val="4472C4">
                    <a:lumMod val="0"/>
                    <a:lumOff val="100000"/>
                  </a:srgbClr>
                </a:gs>
                <a:gs pos="100000">
                  <a:srgbClr val="4472C4">
                    <a:lumMod val="100000"/>
                  </a:srgbClr>
                </a:gs>
              </a:gsLst>
              <a:path path="circle">
                <a:fillToRect l="50000" t="-80000" r="50000" b="180000"/>
              </a:path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'Рис. 2.2'!$C$3:$C$10</c:f>
              <c:strCache>
                <c:ptCount val="8"/>
                <c:pt idx="0">
                  <c:v>ЗКМУ</c:v>
                </c:pt>
                <c:pt idx="1">
                  <c:v>НМУ</c:v>
                </c:pt>
                <c:pt idx="2">
                  <c:v>МУС</c:v>
                </c:pt>
                <c:pt idx="3">
                  <c:v>МУК</c:v>
                </c:pt>
                <c:pt idx="4">
                  <c:v>МУА</c:v>
                </c:pt>
                <c:pt idx="5">
                  <c:v>ЮКМА</c:v>
                </c:pt>
                <c:pt idx="6">
                  <c:v>КРМУ</c:v>
                </c:pt>
                <c:pt idx="7">
                  <c:v>ВШОЗ</c:v>
                </c:pt>
              </c:strCache>
            </c:strRef>
          </c:cat>
          <c:val>
            <c:numRef>
              <c:f>'Рис. 2.2'!$D$3:$D$10</c:f>
              <c:numCache>
                <c:formatCode>0.00</c:formatCode>
                <c:ptCount val="8"/>
                <c:pt idx="0">
                  <c:v>772.37</c:v>
                </c:pt>
                <c:pt idx="1">
                  <c:v>748.15</c:v>
                </c:pt>
                <c:pt idx="2">
                  <c:v>714.98</c:v>
                </c:pt>
                <c:pt idx="3">
                  <c:v>703.1</c:v>
                </c:pt>
                <c:pt idx="4">
                  <c:v>700.69</c:v>
                </c:pt>
                <c:pt idx="5">
                  <c:v>600.04</c:v>
                </c:pt>
                <c:pt idx="6">
                  <c:v>473.49</c:v>
                </c:pt>
                <c:pt idx="7">
                  <c:v>267.62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66-4F4F-B9FB-5CD6E7BC9C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499776"/>
        <c:axId val="77509760"/>
        <c:axId val="0"/>
      </c:bar3DChart>
      <c:catAx>
        <c:axId val="77499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7509760"/>
        <c:crosses val="autoZero"/>
        <c:auto val="1"/>
        <c:lblAlgn val="ctr"/>
        <c:lblOffset val="100"/>
        <c:noMultiLvlLbl val="0"/>
      </c:catAx>
      <c:valAx>
        <c:axId val="7750976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774997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0.31691</cdr:x>
      <cdr:y>0.14804</cdr:y>
    </cdr:from>
    <cdr:to>
      <cdr:x>0.41209</cdr:x>
      <cdr:y>0.20705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817171" y="479420"/>
          <a:ext cx="545767" cy="191124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0.63155</cdr:x>
      <cdr:y>0.22647</cdr:y>
    </cdr:from>
    <cdr:to>
      <cdr:x>0.64452</cdr:x>
      <cdr:y>0.87191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3621317" y="733425"/>
          <a:ext cx="74383" cy="209025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0.65504</cdr:x>
      <cdr:y>0.26569</cdr:y>
    </cdr:from>
    <cdr:to>
      <cdr:x>0.73336</cdr:x>
      <cdr:y>0.31292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3756025" y="860425"/>
          <a:ext cx="449072" cy="15295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0.73295</cdr:x>
      <cdr:y>0.32353</cdr:y>
    </cdr:from>
    <cdr:to>
      <cdr:x>0.74751</cdr:x>
      <cdr:y>0.87382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202762" y="1047750"/>
          <a:ext cx="83488" cy="178212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0.75486</cdr:x>
      <cdr:y>0.38039</cdr:y>
    </cdr:from>
    <cdr:to>
      <cdr:x>0.80454</cdr:x>
      <cdr:y>0.42671</cdr:y>
    </cdr:to>
    <cdr:pic>
      <cdr:nvPicPr>
        <cdr:cNvPr id="6" name="chart"/>
        <cdr:cNvPicPr>
          <a:picLocks xmlns:a="http://schemas.openxmlformats.org/drawingml/2006/main" noChangeAspect="1"/>
        </cdr:cNvPicPr>
      </cdr:nvPicPr>
      <cdr:blipFill rotWithShape="1">
        <a:blip xmlns:a="http://schemas.openxmlformats.org/drawingml/2006/main" xmlns:r="http://schemas.openxmlformats.org/officeDocument/2006/relationships" r:embed="rId4"/>
        <a:srcRect xmlns:a="http://schemas.openxmlformats.org/drawingml/2006/main" t="1" r="63136" b="-2"/>
        <a:stretch xmlns:a="http://schemas.openxmlformats.org/drawingml/2006/main"/>
      </cdr:blipFill>
      <cdr:spPr>
        <a:xfrm xmlns:a="http://schemas.openxmlformats.org/drawingml/2006/main">
          <a:off x="4328408" y="1231901"/>
          <a:ext cx="284867" cy="15001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0.82937</cdr:x>
      <cdr:y>0.55178</cdr:y>
    </cdr:from>
    <cdr:to>
      <cdr:x>0.84551</cdr:x>
      <cdr:y>0.8777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755626" y="1786934"/>
          <a:ext cx="92599" cy="105550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1832</Words>
  <Characters>10446</Characters>
  <Application>Microsoft Office Word</Application>
  <DocSecurity>0</DocSecurity>
  <Lines>87</Lines>
  <Paragraphs>24</Paragraphs>
  <ScaleCrop>false</ScaleCrop>
  <Company/>
  <LinksUpToDate>false</LinksUpToDate>
  <CharactersWithSpaces>12254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Балдырган С. Саркенова</dc:creator>
  <cp:keywords/>
  <dc:description/>
  <cp:lastModifiedBy>Балдырган С. Саркенова</cp:lastModifiedBy>
  <cp:revision>4</cp:revision>
  <dcterms:created xsi:type="dcterms:W3CDTF">2021-12-30T05:18:00Z</dcterms:created>
  <dcterms:modified xsi:type="dcterms:W3CDTF">2021-12-30T05:52:00Z</dcterms:modified>
</cp:coreProperties>
</file>